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C338D0" w14:textId="2C43A6D1" w:rsidR="0021438E" w:rsidRPr="0086465C" w:rsidRDefault="0021438E" w:rsidP="0021438E">
      <w:pPr>
        <w:pStyle w:val="3GPPHeader"/>
        <w:spacing w:after="60"/>
        <w:rPr>
          <w:sz w:val="32"/>
          <w:szCs w:val="32"/>
        </w:rPr>
      </w:pPr>
      <w:r w:rsidRPr="0086465C">
        <w:t>3GPP TSG-RAN WG2 #10</w:t>
      </w:r>
      <w:r w:rsidR="00AB7DDE" w:rsidRPr="0086465C">
        <w:t>2</w:t>
      </w:r>
      <w:r w:rsidRPr="0086465C">
        <w:tab/>
      </w:r>
      <w:r w:rsidRPr="0086465C">
        <w:rPr>
          <w:sz w:val="32"/>
          <w:szCs w:val="32"/>
        </w:rPr>
        <w:t>Tdoc R2-18</w:t>
      </w:r>
      <w:r w:rsidR="0086465C" w:rsidRPr="0086465C">
        <w:rPr>
          <w:sz w:val="32"/>
          <w:szCs w:val="32"/>
        </w:rPr>
        <w:t>07025</w:t>
      </w:r>
    </w:p>
    <w:p w14:paraId="2B67437A" w14:textId="2783686D" w:rsidR="0021438E" w:rsidRPr="0086465C" w:rsidRDefault="00AB7DDE" w:rsidP="0021438E">
      <w:pPr>
        <w:pStyle w:val="3GPPHeader"/>
      </w:pPr>
      <w:r w:rsidRPr="0086465C">
        <w:t>Busan, Republic of Korea, 21</w:t>
      </w:r>
      <w:r w:rsidRPr="0086465C">
        <w:rPr>
          <w:vertAlign w:val="superscript"/>
        </w:rPr>
        <w:t>st</w:t>
      </w:r>
      <w:r w:rsidRPr="0086465C">
        <w:t xml:space="preserve"> – 25</w:t>
      </w:r>
      <w:r w:rsidRPr="0086465C">
        <w:rPr>
          <w:vertAlign w:val="superscript"/>
        </w:rPr>
        <w:t>th</w:t>
      </w:r>
      <w:r w:rsidRPr="0086465C">
        <w:t xml:space="preserve"> May</w:t>
      </w:r>
      <w:r w:rsidR="0021438E" w:rsidRPr="0086465C">
        <w:t xml:space="preserve"> 2018</w:t>
      </w:r>
      <w:r w:rsidR="00F54621" w:rsidRPr="0086465C">
        <w:tab/>
      </w:r>
      <w:r w:rsidRPr="0086465C">
        <w:t>Resubmission</w:t>
      </w:r>
      <w:r w:rsidR="0021438E" w:rsidRPr="0086465C">
        <w:t xml:space="preserve"> of R2-180</w:t>
      </w:r>
      <w:r w:rsidRPr="0086465C">
        <w:t>5413</w:t>
      </w:r>
    </w:p>
    <w:p w14:paraId="5577F68F" w14:textId="77777777" w:rsidR="00647FF6" w:rsidRPr="0086465C" w:rsidRDefault="00647FF6" w:rsidP="00C94BAE">
      <w:pPr>
        <w:pStyle w:val="3GPPHeader"/>
        <w:rPr>
          <w:sz w:val="22"/>
          <w:szCs w:val="22"/>
        </w:rPr>
      </w:pPr>
    </w:p>
    <w:p w14:paraId="336F98C5" w14:textId="2DD13956" w:rsidR="00C94BAE" w:rsidRPr="00691B23" w:rsidRDefault="00C94BAE" w:rsidP="00C94BAE">
      <w:pPr>
        <w:pStyle w:val="3GPPHeader"/>
        <w:rPr>
          <w:sz w:val="22"/>
          <w:szCs w:val="22"/>
          <w:lang w:val="en-US"/>
        </w:rPr>
      </w:pPr>
      <w:r w:rsidRPr="0086465C">
        <w:rPr>
          <w:sz w:val="22"/>
          <w:szCs w:val="22"/>
          <w:lang w:val="en-US"/>
        </w:rPr>
        <w:t>Agenda Item:</w:t>
      </w:r>
      <w:r w:rsidRPr="0086465C">
        <w:rPr>
          <w:sz w:val="22"/>
          <w:szCs w:val="22"/>
          <w:lang w:val="en-US"/>
        </w:rPr>
        <w:tab/>
      </w:r>
      <w:r w:rsidR="005411D6" w:rsidRPr="0086465C">
        <w:rPr>
          <w:sz w:val="22"/>
          <w:szCs w:val="22"/>
          <w:lang w:val="en-US"/>
        </w:rPr>
        <w:t>10.</w:t>
      </w:r>
      <w:r w:rsidR="005A6C67" w:rsidRPr="0086465C">
        <w:rPr>
          <w:sz w:val="22"/>
          <w:szCs w:val="22"/>
          <w:lang w:val="en-US"/>
        </w:rPr>
        <w:t>3.</w:t>
      </w:r>
      <w:r w:rsidR="003B734D" w:rsidRPr="0086465C">
        <w:rPr>
          <w:sz w:val="22"/>
          <w:szCs w:val="22"/>
          <w:lang w:val="en-US"/>
        </w:rPr>
        <w:t>1.4.2</w:t>
      </w:r>
    </w:p>
    <w:p w14:paraId="5B4482B9" w14:textId="77777777" w:rsidR="00C94BAE" w:rsidRDefault="00C94BAE" w:rsidP="00C94BAE">
      <w:pPr>
        <w:pStyle w:val="3GPPHeader"/>
        <w:rPr>
          <w:sz w:val="22"/>
          <w:szCs w:val="22"/>
        </w:rPr>
      </w:pPr>
      <w:r>
        <w:rPr>
          <w:sz w:val="22"/>
          <w:szCs w:val="22"/>
        </w:rPr>
        <w:t>Source:</w:t>
      </w:r>
      <w:r>
        <w:rPr>
          <w:sz w:val="22"/>
          <w:szCs w:val="22"/>
        </w:rPr>
        <w:tab/>
        <w:t>Ericsson</w:t>
      </w:r>
    </w:p>
    <w:p w14:paraId="6E57E625" w14:textId="0EBFD4A0" w:rsidR="00C94BAE" w:rsidRDefault="00C94BAE" w:rsidP="00C94BAE">
      <w:pPr>
        <w:pStyle w:val="3GPPHeader"/>
        <w:rPr>
          <w:sz w:val="22"/>
          <w:szCs w:val="22"/>
        </w:rPr>
      </w:pPr>
      <w:r>
        <w:rPr>
          <w:sz w:val="22"/>
          <w:szCs w:val="22"/>
        </w:rPr>
        <w:t>Title:</w:t>
      </w:r>
      <w:r>
        <w:rPr>
          <w:sz w:val="22"/>
          <w:szCs w:val="22"/>
        </w:rPr>
        <w:tab/>
      </w:r>
      <w:r w:rsidR="0084391E">
        <w:rPr>
          <w:sz w:val="22"/>
          <w:szCs w:val="22"/>
        </w:rPr>
        <w:t>Beam reselection in case of high load during RA</w:t>
      </w:r>
    </w:p>
    <w:p w14:paraId="3D250BB5" w14:textId="0CEB7E60" w:rsidR="00C94BAE" w:rsidRDefault="00C94BAE" w:rsidP="00C94BAE">
      <w:pPr>
        <w:pStyle w:val="3GPPHeader"/>
        <w:rPr>
          <w:sz w:val="22"/>
          <w:szCs w:val="22"/>
        </w:rPr>
      </w:pPr>
      <w:r>
        <w:rPr>
          <w:sz w:val="22"/>
          <w:szCs w:val="22"/>
        </w:rPr>
        <w:t>Document for:</w:t>
      </w:r>
      <w:r>
        <w:rPr>
          <w:sz w:val="22"/>
          <w:szCs w:val="22"/>
        </w:rPr>
        <w:tab/>
      </w:r>
      <w:r w:rsidRPr="00C94BAE">
        <w:rPr>
          <w:sz w:val="22"/>
          <w:szCs w:val="22"/>
        </w:rPr>
        <w:t>Discussion, Decision</w:t>
      </w:r>
    </w:p>
    <w:p w14:paraId="415BEEC9" w14:textId="77777777" w:rsidR="00477EDE" w:rsidRDefault="00477EDE" w:rsidP="00C94BAE">
      <w:pPr>
        <w:pStyle w:val="3GPPHeader"/>
        <w:rPr>
          <w:sz w:val="22"/>
          <w:szCs w:val="22"/>
        </w:rPr>
      </w:pPr>
    </w:p>
    <w:p w14:paraId="59D6D932" w14:textId="77777777" w:rsidR="00C24345" w:rsidRDefault="00E90E49" w:rsidP="00A2052C">
      <w:pPr>
        <w:pStyle w:val="Heading1"/>
      </w:pPr>
      <w:r w:rsidRPr="00CE0424">
        <w:t>Introduction</w:t>
      </w:r>
    </w:p>
    <w:p w14:paraId="1E13FEA8" w14:textId="4F8E28DE" w:rsidR="002C40E9" w:rsidRDefault="003D3D71" w:rsidP="00344F9D">
      <w:r>
        <w:t xml:space="preserve">To keep the latency </w:t>
      </w:r>
      <w:r w:rsidR="00006E93">
        <w:t xml:space="preserve">short, it is of great importance that the random access procedure is kept short. With the current functionality the </w:t>
      </w:r>
      <w:r w:rsidR="00584942">
        <w:t xml:space="preserve">UE may continuously select and reselect an SSB with high load, even if there are other suitable SSBs with </w:t>
      </w:r>
      <w:r w:rsidR="002C40E9">
        <w:t xml:space="preserve">less </w:t>
      </w:r>
      <w:r w:rsidR="00584942">
        <w:t xml:space="preserve">load. </w:t>
      </w:r>
      <w:r w:rsidR="00681C09">
        <w:t>In this paper we argue that the backoff timer is applied per SSB</w:t>
      </w:r>
      <w:r w:rsidR="009444C9">
        <w:t xml:space="preserve"> to allow the UE to quickly </w:t>
      </w:r>
      <w:r w:rsidR="00F41E21">
        <w:t>reselect to another suitable SSB upon reception of backoff indication in message 2.</w:t>
      </w:r>
    </w:p>
    <w:p w14:paraId="05F04AD5" w14:textId="5D976F37" w:rsidR="004000E8" w:rsidRDefault="004000E8" w:rsidP="00CE0424">
      <w:pPr>
        <w:pStyle w:val="Heading1"/>
      </w:pPr>
      <w:bookmarkStart w:id="0" w:name="_Ref178064866"/>
      <w:r w:rsidRPr="00CE0424">
        <w:t>Discussion</w:t>
      </w:r>
      <w:bookmarkEnd w:id="0"/>
    </w:p>
    <w:p w14:paraId="67194C8B" w14:textId="5D7ACDB8" w:rsidR="00303716" w:rsidRPr="00B06FEF" w:rsidRDefault="0023040E" w:rsidP="00B06FEF">
      <w:pPr>
        <w:pStyle w:val="BodyText"/>
        <w:rPr>
          <w:rStyle w:val="BodyTextChar"/>
        </w:rPr>
      </w:pPr>
      <w:r w:rsidRPr="00B06FEF">
        <w:rPr>
          <w:rStyle w:val="BodyTextChar"/>
        </w:rPr>
        <w:t xml:space="preserve">For an NR cell configured with multiple SSBs, where each SSB is associated with a specific DL beam, the choice of which SSB to use is left to UE implementation </w:t>
      </w:r>
      <w:r w:rsidR="00A4055E" w:rsidRPr="00B06FEF">
        <w:rPr>
          <w:rStyle w:val="BodyTextChar"/>
        </w:rPr>
        <w:t>if</w:t>
      </w:r>
      <w:r w:rsidRPr="00B06FEF">
        <w:rPr>
          <w:rStyle w:val="BodyTextChar"/>
        </w:rPr>
        <w:t xml:space="preserve"> it selects an SSB with an SS-RSRP </w:t>
      </w:r>
      <w:bookmarkStart w:id="1" w:name="_Hlk501003620"/>
      <w:r w:rsidRPr="00B06FEF">
        <w:rPr>
          <w:rStyle w:val="BodyTextChar"/>
        </w:rPr>
        <w:t xml:space="preserve">above ssb-Threshold. </w:t>
      </w:r>
      <w:r w:rsidR="00303716" w:rsidRPr="00B06FEF">
        <w:rPr>
          <w:rStyle w:val="BodyTextChar"/>
        </w:rPr>
        <w:t xml:space="preserve">We think </w:t>
      </w:r>
      <w:r w:rsidR="00041298" w:rsidRPr="00B06FEF">
        <w:rPr>
          <w:rStyle w:val="BodyTextChar"/>
        </w:rPr>
        <w:t xml:space="preserve">such </w:t>
      </w:r>
      <w:r w:rsidR="006E3485" w:rsidRPr="00B06FEF">
        <w:rPr>
          <w:rStyle w:val="BodyTextChar"/>
        </w:rPr>
        <w:t>behaviour</w:t>
      </w:r>
      <w:r w:rsidR="00041298" w:rsidRPr="00B06FEF">
        <w:rPr>
          <w:rStyle w:val="BodyTextChar"/>
        </w:rPr>
        <w:t xml:space="preserve"> is not</w:t>
      </w:r>
      <w:r w:rsidR="00303716" w:rsidRPr="00B06FEF">
        <w:rPr>
          <w:rStyle w:val="BodyTextChar"/>
        </w:rPr>
        <w:t xml:space="preserve"> </w:t>
      </w:r>
      <w:r w:rsidR="00F67EEE" w:rsidRPr="00B06FEF">
        <w:rPr>
          <w:rStyle w:val="BodyTextChar"/>
        </w:rPr>
        <w:t xml:space="preserve">efficient in case the </w:t>
      </w:r>
      <w:r w:rsidR="000F3D4B">
        <w:rPr>
          <w:rStyle w:val="BodyTextChar"/>
        </w:rPr>
        <w:t>RA</w:t>
      </w:r>
      <w:r w:rsidR="000F3D4B" w:rsidRPr="00B06FEF">
        <w:rPr>
          <w:rStyle w:val="BodyTextChar"/>
        </w:rPr>
        <w:t xml:space="preserve"> </w:t>
      </w:r>
      <w:r w:rsidR="00F67EEE" w:rsidRPr="00B06FEF">
        <w:rPr>
          <w:rStyle w:val="BodyTextChar"/>
        </w:rPr>
        <w:t>accesses are not equally distributed between SSBs.</w:t>
      </w:r>
    </w:p>
    <w:p w14:paraId="739649CF" w14:textId="4B3301EE" w:rsidR="00303716" w:rsidRPr="005B3027" w:rsidRDefault="00FE50D1" w:rsidP="00303716">
      <w:pPr>
        <w:pStyle w:val="Observation"/>
        <w:numPr>
          <w:ilvl w:val="0"/>
          <w:numId w:val="35"/>
        </w:numPr>
        <w:overflowPunct/>
        <w:autoSpaceDE/>
        <w:autoSpaceDN/>
        <w:adjustRightInd/>
        <w:spacing w:after="160" w:line="256" w:lineRule="auto"/>
        <w:ind w:left="1701" w:hanging="1701"/>
        <w:jc w:val="left"/>
        <w:textAlignment w:val="auto"/>
        <w:rPr>
          <w:rFonts w:cs="Arial"/>
          <w:lang w:val="en-US"/>
        </w:rPr>
      </w:pPr>
      <w:bookmarkStart w:id="2" w:name="_Toc503355255"/>
      <w:bookmarkStart w:id="3" w:name="_Toc503376679"/>
      <w:bookmarkStart w:id="4" w:name="_Toc503429732"/>
      <w:bookmarkStart w:id="5" w:name="_Toc503460877"/>
      <w:bookmarkStart w:id="6" w:name="_Toc505979453"/>
      <w:bookmarkStart w:id="7" w:name="_Toc506484474"/>
      <w:bookmarkStart w:id="8" w:name="_Toc510700781"/>
      <w:bookmarkStart w:id="9" w:name="_Toc510721146"/>
      <w:r>
        <w:rPr>
          <w:rFonts w:cs="Arial"/>
          <w:lang w:val="en-US"/>
        </w:rPr>
        <w:t xml:space="preserve">It is not efficient to </w:t>
      </w:r>
      <w:r w:rsidR="00732E1A">
        <w:rPr>
          <w:rFonts w:cs="Arial"/>
          <w:lang w:val="en-US"/>
        </w:rPr>
        <w:t>leave for</w:t>
      </w:r>
      <w:r>
        <w:rPr>
          <w:rFonts w:cs="Arial"/>
          <w:lang w:val="en-US"/>
        </w:rPr>
        <w:t xml:space="preserve"> UE implementation </w:t>
      </w:r>
      <w:r w:rsidR="00D96527">
        <w:rPr>
          <w:rFonts w:cs="Arial"/>
          <w:lang w:val="en-US"/>
        </w:rPr>
        <w:t xml:space="preserve">on how to select the SSBs for </w:t>
      </w:r>
      <w:r w:rsidR="000F3D4B">
        <w:rPr>
          <w:rFonts w:cs="Arial"/>
          <w:lang w:val="en-US"/>
        </w:rPr>
        <w:t xml:space="preserve">RA </w:t>
      </w:r>
      <w:r w:rsidR="00D96527">
        <w:rPr>
          <w:rFonts w:cs="Arial"/>
          <w:lang w:val="en-US"/>
        </w:rPr>
        <w:t>access</w:t>
      </w:r>
      <w:bookmarkEnd w:id="2"/>
      <w:r w:rsidR="00732E1A">
        <w:rPr>
          <w:rFonts w:cs="Arial"/>
          <w:lang w:val="en-US"/>
        </w:rPr>
        <w:t>.</w:t>
      </w:r>
      <w:bookmarkEnd w:id="3"/>
      <w:bookmarkEnd w:id="4"/>
      <w:bookmarkEnd w:id="5"/>
      <w:bookmarkEnd w:id="6"/>
      <w:bookmarkEnd w:id="7"/>
      <w:bookmarkEnd w:id="8"/>
      <w:bookmarkEnd w:id="9"/>
    </w:p>
    <w:bookmarkEnd w:id="1"/>
    <w:p w14:paraId="4A214E9D" w14:textId="15E3F18E" w:rsidR="00B65976" w:rsidRPr="00D56005" w:rsidRDefault="0023040E" w:rsidP="007D75E7">
      <w:pPr>
        <w:pStyle w:val="BodyText"/>
        <w:rPr>
          <w:rStyle w:val="BodyTextChar"/>
          <w:i/>
        </w:rPr>
      </w:pPr>
      <w:r>
        <w:rPr>
          <w:rStyle w:val="BodyTextChar"/>
        </w:rPr>
        <w:t xml:space="preserve">For </w:t>
      </w:r>
      <w:r w:rsidR="000F3D4B">
        <w:rPr>
          <w:rStyle w:val="BodyTextChar"/>
        </w:rPr>
        <w:t xml:space="preserve">the </w:t>
      </w:r>
      <w:r>
        <w:rPr>
          <w:rStyle w:val="BodyTextChar"/>
        </w:rPr>
        <w:t xml:space="preserve">initial </w:t>
      </w:r>
      <w:r w:rsidR="000F3D4B">
        <w:rPr>
          <w:rStyle w:val="BodyTextChar"/>
        </w:rPr>
        <w:t xml:space="preserve">RA </w:t>
      </w:r>
      <w:r>
        <w:rPr>
          <w:rStyle w:val="BodyTextChar"/>
        </w:rPr>
        <w:t xml:space="preserve">access, the measurement metric of SS-RSRP that is used for the SSB selection may not reflect the load situation of the corresponding SSBs, e.g., </w:t>
      </w:r>
      <w:r w:rsidR="009B0DEC">
        <w:rPr>
          <w:rStyle w:val="BodyTextChar"/>
        </w:rPr>
        <w:t xml:space="preserve">whether there are free </w:t>
      </w:r>
      <w:r w:rsidR="007105BB">
        <w:rPr>
          <w:rStyle w:val="BodyTextChar"/>
        </w:rPr>
        <w:t xml:space="preserve">preambles </w:t>
      </w:r>
      <w:r w:rsidR="009B0DEC">
        <w:rPr>
          <w:rStyle w:val="BodyTextChar"/>
        </w:rPr>
        <w:t>available in SSBs</w:t>
      </w:r>
      <w:r>
        <w:rPr>
          <w:rStyle w:val="BodyTextChar"/>
        </w:rPr>
        <w:t xml:space="preserve">. </w:t>
      </w:r>
      <w:r w:rsidR="00423C9A">
        <w:rPr>
          <w:rStyle w:val="BodyTextChar"/>
        </w:rPr>
        <w:t>I</w:t>
      </w:r>
      <w:r>
        <w:rPr>
          <w:rStyle w:val="BodyTextChar"/>
        </w:rPr>
        <w:t xml:space="preserve">t may </w:t>
      </w:r>
      <w:r w:rsidR="00954404">
        <w:rPr>
          <w:rStyle w:val="BodyTextChar"/>
        </w:rPr>
        <w:t xml:space="preserve">occur </w:t>
      </w:r>
      <w:r>
        <w:rPr>
          <w:rStyle w:val="BodyTextChar"/>
        </w:rPr>
        <w:t xml:space="preserve">that the SSB which is used for </w:t>
      </w:r>
      <w:r w:rsidR="000F3D4B">
        <w:rPr>
          <w:rStyle w:val="BodyTextChar"/>
        </w:rPr>
        <w:t>RA</w:t>
      </w:r>
      <w:r>
        <w:rPr>
          <w:rStyle w:val="BodyTextChar"/>
        </w:rPr>
        <w:t xml:space="preserve"> is experiencing high </w:t>
      </w:r>
      <w:r w:rsidR="000F3D4B">
        <w:rPr>
          <w:rStyle w:val="BodyTextChar"/>
        </w:rPr>
        <w:t xml:space="preserve">RA </w:t>
      </w:r>
      <w:r>
        <w:rPr>
          <w:rStyle w:val="BodyTextChar"/>
        </w:rPr>
        <w:t>load resulting in that the gNB is unable to handle RA</w:t>
      </w:r>
      <w:r w:rsidR="00732E1A">
        <w:rPr>
          <w:rStyle w:val="BodyTextChar"/>
        </w:rPr>
        <w:t xml:space="preserve"> attempts</w:t>
      </w:r>
      <w:r>
        <w:rPr>
          <w:rStyle w:val="BodyTextChar"/>
        </w:rPr>
        <w:t xml:space="preserve"> and instead sends a BI to the UE. At the same time, other SSBs may experience low </w:t>
      </w:r>
      <w:r w:rsidR="000F3D4B">
        <w:rPr>
          <w:rStyle w:val="BodyTextChar"/>
        </w:rPr>
        <w:t xml:space="preserve">RA </w:t>
      </w:r>
      <w:r>
        <w:rPr>
          <w:rStyle w:val="BodyTextChar"/>
        </w:rPr>
        <w:t xml:space="preserve">load and </w:t>
      </w:r>
      <w:r w:rsidR="000F3D4B">
        <w:rPr>
          <w:rStyle w:val="BodyTextChar"/>
        </w:rPr>
        <w:t xml:space="preserve">therefore are </w:t>
      </w:r>
      <w:r>
        <w:rPr>
          <w:rStyle w:val="BodyTextChar"/>
        </w:rPr>
        <w:t xml:space="preserve">able to </w:t>
      </w:r>
      <w:r w:rsidR="000F3D4B">
        <w:rPr>
          <w:rStyle w:val="BodyTextChar"/>
        </w:rPr>
        <w:t xml:space="preserve">admit </w:t>
      </w:r>
      <w:r>
        <w:rPr>
          <w:rStyle w:val="BodyTextChar"/>
        </w:rPr>
        <w:t>RA</w:t>
      </w:r>
      <w:r w:rsidR="00732E1A">
        <w:rPr>
          <w:rStyle w:val="BodyTextChar"/>
        </w:rPr>
        <w:t xml:space="preserve"> attempts</w:t>
      </w:r>
      <w:r>
        <w:rPr>
          <w:rStyle w:val="BodyTextChar"/>
        </w:rPr>
        <w:t xml:space="preserve">. </w:t>
      </w:r>
      <w:r w:rsidR="00515E01">
        <w:rPr>
          <w:rStyle w:val="BodyTextChar"/>
        </w:rPr>
        <w:t xml:space="preserve">Upon reception of </w:t>
      </w:r>
      <w:r w:rsidR="000F3D4B">
        <w:rPr>
          <w:rStyle w:val="BodyTextChar"/>
        </w:rPr>
        <w:t xml:space="preserve">a </w:t>
      </w:r>
      <w:r w:rsidR="00E22178">
        <w:rPr>
          <w:rStyle w:val="BodyTextChar"/>
        </w:rPr>
        <w:t xml:space="preserve">BI in RAR, </w:t>
      </w:r>
      <w:r>
        <w:rPr>
          <w:rStyle w:val="BodyTextChar"/>
        </w:rPr>
        <w:t xml:space="preserve">the UE </w:t>
      </w:r>
      <w:r w:rsidR="00E22178">
        <w:rPr>
          <w:rStyle w:val="BodyTextChar"/>
        </w:rPr>
        <w:t xml:space="preserve">would </w:t>
      </w:r>
      <w:r>
        <w:rPr>
          <w:rStyle w:val="BodyTextChar"/>
        </w:rPr>
        <w:t>do Back</w:t>
      </w:r>
      <w:r w:rsidR="00335E32">
        <w:rPr>
          <w:rStyle w:val="BodyTextChar"/>
        </w:rPr>
        <w:t>-</w:t>
      </w:r>
      <w:r>
        <w:rPr>
          <w:rStyle w:val="BodyTextChar"/>
        </w:rPr>
        <w:t xml:space="preserve">off and </w:t>
      </w:r>
      <w:r w:rsidR="000F3D4B">
        <w:rPr>
          <w:rStyle w:val="BodyTextChar"/>
        </w:rPr>
        <w:t xml:space="preserve">retransmit </w:t>
      </w:r>
      <w:r>
        <w:rPr>
          <w:rStyle w:val="BodyTextChar"/>
        </w:rPr>
        <w:t>preambles on the same SSB,</w:t>
      </w:r>
      <w:r w:rsidR="007A1464">
        <w:rPr>
          <w:rStyle w:val="BodyTextChar"/>
        </w:rPr>
        <w:t xml:space="preserve"> </w:t>
      </w:r>
      <w:r w:rsidR="000F3D4B">
        <w:rPr>
          <w:rStyle w:val="BodyTextChar"/>
        </w:rPr>
        <w:t>leading to</w:t>
      </w:r>
      <w:r>
        <w:rPr>
          <w:rStyle w:val="BodyTextChar"/>
        </w:rPr>
        <w:t xml:space="preserve"> an unnecessary long delay for the RA.</w:t>
      </w:r>
      <w:r w:rsidR="00641AE9">
        <w:rPr>
          <w:rStyle w:val="BodyTextChar"/>
        </w:rPr>
        <w:t xml:space="preserve"> </w:t>
      </w:r>
      <w:r w:rsidR="00B65976" w:rsidRPr="00D56005">
        <w:rPr>
          <w:rStyle w:val="BodyTextChar"/>
        </w:rPr>
        <w:t xml:space="preserve">An example of the issue is illustrated in Figure 1. In this example, </w:t>
      </w:r>
      <w:r w:rsidR="00F33333" w:rsidRPr="00D56005">
        <w:rPr>
          <w:rStyle w:val="BodyTextChar"/>
        </w:rPr>
        <w:t>for the UE, there are two SSBs</w:t>
      </w:r>
      <w:r w:rsidR="00941570">
        <w:rPr>
          <w:rStyle w:val="BodyTextChar"/>
        </w:rPr>
        <w:t>:</w:t>
      </w:r>
      <w:r w:rsidR="00F33333" w:rsidRPr="00D56005">
        <w:rPr>
          <w:rStyle w:val="BodyTextChar"/>
        </w:rPr>
        <w:t xml:space="preserve"> SSB1</w:t>
      </w:r>
      <w:r w:rsidR="00627190">
        <w:rPr>
          <w:rStyle w:val="BodyTextChar"/>
        </w:rPr>
        <w:t xml:space="preserve"> and</w:t>
      </w:r>
      <w:r w:rsidR="00F33333" w:rsidRPr="00D56005">
        <w:rPr>
          <w:rStyle w:val="BodyTextChar"/>
        </w:rPr>
        <w:t xml:space="preserve"> SSB2 </w:t>
      </w:r>
      <w:r w:rsidR="00627190">
        <w:rPr>
          <w:rStyle w:val="BodyTextChar"/>
        </w:rPr>
        <w:t xml:space="preserve">which are </w:t>
      </w:r>
      <w:r w:rsidR="00732E1A">
        <w:rPr>
          <w:rStyle w:val="BodyTextChar"/>
        </w:rPr>
        <w:t>a</w:t>
      </w:r>
      <w:r w:rsidR="00F33333" w:rsidRPr="00D56005">
        <w:rPr>
          <w:rStyle w:val="BodyTextChar"/>
        </w:rPr>
        <w:t xml:space="preserve">bove the </w:t>
      </w:r>
      <w:r w:rsidR="00F33333" w:rsidRPr="00D56005">
        <w:rPr>
          <w:lang w:eastAsia="ko-KR"/>
        </w:rPr>
        <w:t xml:space="preserve">ssb-Threshold, meaning that the UE can use SSB1 or SSB2 to initiate a </w:t>
      </w:r>
      <w:r w:rsidR="000F3D4B">
        <w:rPr>
          <w:lang w:eastAsia="ko-KR"/>
        </w:rPr>
        <w:t>RA</w:t>
      </w:r>
      <w:r w:rsidR="000F3D4B" w:rsidRPr="00D56005">
        <w:rPr>
          <w:lang w:eastAsia="ko-KR"/>
        </w:rPr>
        <w:t xml:space="preserve"> </w:t>
      </w:r>
      <w:r w:rsidR="00A65680" w:rsidRPr="00D56005">
        <w:rPr>
          <w:lang w:eastAsia="ko-KR"/>
        </w:rPr>
        <w:t xml:space="preserve">access. Although SSB1 has higher RSRP than </w:t>
      </w:r>
      <w:r w:rsidR="003F4E96">
        <w:rPr>
          <w:lang w:eastAsia="ko-KR"/>
        </w:rPr>
        <w:t>SS</w:t>
      </w:r>
      <w:r w:rsidR="00A65680" w:rsidRPr="00D56005">
        <w:rPr>
          <w:lang w:eastAsia="ko-KR"/>
        </w:rPr>
        <w:t xml:space="preserve">B2, since SSB1 is </w:t>
      </w:r>
      <w:r w:rsidR="00763EAD" w:rsidRPr="00D56005">
        <w:rPr>
          <w:lang w:eastAsia="ko-KR"/>
        </w:rPr>
        <w:t>fully loaded (there is no free preamble for the moment), it would be better for the UE to select SSB2</w:t>
      </w:r>
      <w:r w:rsidR="007D0C00">
        <w:rPr>
          <w:lang w:eastAsia="ko-KR"/>
        </w:rPr>
        <w:t xml:space="preserve"> </w:t>
      </w:r>
      <w:r w:rsidR="00763EAD" w:rsidRPr="00D56005">
        <w:rPr>
          <w:lang w:eastAsia="ko-KR"/>
        </w:rPr>
        <w:t xml:space="preserve">instead </w:t>
      </w:r>
      <w:r w:rsidR="00D507F7" w:rsidRPr="00D56005">
        <w:rPr>
          <w:lang w:eastAsia="ko-KR"/>
        </w:rPr>
        <w:t xml:space="preserve">of </w:t>
      </w:r>
      <w:r w:rsidR="0020605A" w:rsidRPr="00D56005">
        <w:rPr>
          <w:lang w:eastAsia="ko-KR"/>
        </w:rPr>
        <w:t xml:space="preserve">performing </w:t>
      </w:r>
      <w:r w:rsidR="00D507F7" w:rsidRPr="00D56005">
        <w:rPr>
          <w:lang w:eastAsia="ko-KR"/>
        </w:rPr>
        <w:t>backoff on SSB1.</w:t>
      </w:r>
    </w:p>
    <w:p w14:paraId="1A25D69A" w14:textId="56410D80" w:rsidR="00F71A32" w:rsidRDefault="00F71A32" w:rsidP="007D75E7">
      <w:pPr>
        <w:pStyle w:val="Figure"/>
        <w:rPr>
          <w:rStyle w:val="BodyTextChar"/>
          <w:i/>
        </w:rPr>
      </w:pPr>
      <w:r>
        <w:rPr>
          <w:rStyle w:val="BodyTextChar"/>
          <w:i/>
          <w:noProof/>
          <w:lang w:val="sv-SE"/>
        </w:rPr>
        <w:lastRenderedPageBreak/>
        <w:drawing>
          <wp:inline distT="0" distB="0" distL="0" distR="0" wp14:anchorId="6A5BAF3F" wp14:editId="5964430A">
            <wp:extent cx="5400136" cy="283795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03516" cy="2839728"/>
                    </a:xfrm>
                    <a:prstGeom prst="rect">
                      <a:avLst/>
                    </a:prstGeom>
                    <a:noFill/>
                  </pic:spPr>
                </pic:pic>
              </a:graphicData>
            </a:graphic>
          </wp:inline>
        </w:drawing>
      </w:r>
    </w:p>
    <w:p w14:paraId="6A6E4801" w14:textId="64B69612" w:rsidR="004F534A" w:rsidRPr="00732E1A" w:rsidRDefault="004F534A" w:rsidP="00732E1A">
      <w:pPr>
        <w:pStyle w:val="Caption"/>
        <w:rPr>
          <w:rStyle w:val="BodyTextChar"/>
        </w:rPr>
      </w:pPr>
      <w:r w:rsidRPr="00732E1A">
        <w:rPr>
          <w:rStyle w:val="BodyTextChar"/>
        </w:rPr>
        <w:t xml:space="preserve">Figure 1. An example of </w:t>
      </w:r>
      <w:r w:rsidR="000F3D4B">
        <w:rPr>
          <w:rStyle w:val="BodyTextChar"/>
        </w:rPr>
        <w:t>RA</w:t>
      </w:r>
      <w:r w:rsidR="000F3D4B" w:rsidRPr="00732E1A">
        <w:rPr>
          <w:rStyle w:val="BodyTextChar"/>
        </w:rPr>
        <w:t xml:space="preserve"> </w:t>
      </w:r>
      <w:r w:rsidRPr="00732E1A">
        <w:rPr>
          <w:rStyle w:val="BodyTextChar"/>
        </w:rPr>
        <w:t>load unequal distributions between SSBs</w:t>
      </w:r>
    </w:p>
    <w:p w14:paraId="481FCBC7" w14:textId="69A1AF83" w:rsidR="0023040E" w:rsidRPr="00B06FEF" w:rsidRDefault="0023040E" w:rsidP="0023040E">
      <w:pPr>
        <w:pStyle w:val="Observation"/>
        <w:numPr>
          <w:ilvl w:val="0"/>
          <w:numId w:val="35"/>
        </w:numPr>
        <w:overflowPunct/>
        <w:autoSpaceDE/>
        <w:autoSpaceDN/>
        <w:adjustRightInd/>
        <w:spacing w:after="160" w:line="256" w:lineRule="auto"/>
        <w:ind w:left="1701" w:hanging="1701"/>
        <w:jc w:val="left"/>
        <w:textAlignment w:val="auto"/>
        <w:rPr>
          <w:rStyle w:val="BodyTextChar"/>
          <w:lang w:val="en-US"/>
        </w:rPr>
      </w:pPr>
      <w:bookmarkStart w:id="10" w:name="_Toc501576375"/>
      <w:bookmarkStart w:id="11" w:name="_Toc503355256"/>
      <w:bookmarkStart w:id="12" w:name="_Toc503376680"/>
      <w:bookmarkStart w:id="13" w:name="_Toc503429733"/>
      <w:bookmarkStart w:id="14" w:name="_Toc503460878"/>
      <w:bookmarkStart w:id="15" w:name="_Toc505979454"/>
      <w:bookmarkStart w:id="16" w:name="_Toc506484475"/>
      <w:bookmarkStart w:id="17" w:name="_Toc510700782"/>
      <w:bookmarkStart w:id="18" w:name="_Toc510721147"/>
      <w:r w:rsidRPr="00B06FEF">
        <w:rPr>
          <w:rStyle w:val="BodyTextChar"/>
        </w:rPr>
        <w:t xml:space="preserve">It may </w:t>
      </w:r>
      <w:r w:rsidR="000F3D4B">
        <w:rPr>
          <w:rStyle w:val="BodyTextChar"/>
        </w:rPr>
        <w:t>occur</w:t>
      </w:r>
      <w:r w:rsidR="000F3D4B" w:rsidRPr="00B06FEF">
        <w:rPr>
          <w:rStyle w:val="BodyTextChar"/>
        </w:rPr>
        <w:t xml:space="preserve"> </w:t>
      </w:r>
      <w:r w:rsidRPr="00B06FEF">
        <w:rPr>
          <w:rStyle w:val="BodyTextChar"/>
        </w:rPr>
        <w:t xml:space="preserve">that the </w:t>
      </w:r>
      <w:r w:rsidR="00303013" w:rsidRPr="00B06FEF">
        <w:rPr>
          <w:rStyle w:val="BodyTextChar"/>
        </w:rPr>
        <w:t xml:space="preserve">beam </w:t>
      </w:r>
      <w:r w:rsidRPr="00B06FEF">
        <w:rPr>
          <w:rStyle w:val="BodyTextChar"/>
        </w:rPr>
        <w:t xml:space="preserve">which is used for </w:t>
      </w:r>
      <w:r w:rsidR="000F3D4B">
        <w:rPr>
          <w:rStyle w:val="BodyTextChar"/>
        </w:rPr>
        <w:t>RA</w:t>
      </w:r>
      <w:r w:rsidRPr="00B06FEF">
        <w:rPr>
          <w:rStyle w:val="BodyTextChar"/>
        </w:rPr>
        <w:t xml:space="preserve"> is experiencing high load resulting in that the gNB is unable to handle </w:t>
      </w:r>
      <w:r w:rsidR="003C6D7A">
        <w:rPr>
          <w:rStyle w:val="BodyTextChar"/>
        </w:rPr>
        <w:t xml:space="preserve">the </w:t>
      </w:r>
      <w:r w:rsidRPr="00B06FEF">
        <w:rPr>
          <w:rStyle w:val="BodyTextChar"/>
        </w:rPr>
        <w:t>U</w:t>
      </w:r>
      <w:r w:rsidR="003C6D7A">
        <w:rPr>
          <w:rStyle w:val="BodyTextChar"/>
        </w:rPr>
        <w:t>Es’</w:t>
      </w:r>
      <w:r w:rsidRPr="00B06FEF">
        <w:rPr>
          <w:rStyle w:val="BodyTextChar"/>
        </w:rPr>
        <w:t xml:space="preserve"> RA</w:t>
      </w:r>
      <w:r w:rsidR="00732E1A" w:rsidRPr="00B06FEF">
        <w:rPr>
          <w:rStyle w:val="BodyTextChar"/>
        </w:rPr>
        <w:t xml:space="preserve"> attempts</w:t>
      </w:r>
      <w:r w:rsidRPr="00B06FEF">
        <w:rPr>
          <w:rStyle w:val="BodyTextChar"/>
        </w:rPr>
        <w:t xml:space="preserve"> and instead sends a BI to the UE</w:t>
      </w:r>
      <w:r w:rsidR="00732E1A" w:rsidRPr="00B06FEF">
        <w:rPr>
          <w:rStyle w:val="BodyTextChar"/>
        </w:rPr>
        <w:t>s</w:t>
      </w:r>
      <w:r w:rsidRPr="00B06FEF">
        <w:rPr>
          <w:rStyle w:val="BodyTextChar"/>
        </w:rPr>
        <w:t xml:space="preserve">. The UE performs back-off and continues to use the same beam </w:t>
      </w:r>
      <w:r w:rsidR="00732E1A" w:rsidRPr="00B06FEF">
        <w:rPr>
          <w:rStyle w:val="BodyTextChar"/>
        </w:rPr>
        <w:t>which leads to</w:t>
      </w:r>
      <w:r w:rsidR="000F3D4B">
        <w:rPr>
          <w:rStyle w:val="BodyTextChar"/>
        </w:rPr>
        <w:t xml:space="preserve"> an</w:t>
      </w:r>
      <w:r w:rsidRPr="00B06FEF">
        <w:rPr>
          <w:rStyle w:val="BodyTextChar"/>
        </w:rPr>
        <w:t xml:space="preserve"> </w:t>
      </w:r>
      <w:r w:rsidR="007349B8" w:rsidRPr="00B06FEF">
        <w:rPr>
          <w:rStyle w:val="BodyTextChar"/>
        </w:rPr>
        <w:t>unnecessary long latency</w:t>
      </w:r>
      <w:bookmarkEnd w:id="10"/>
      <w:bookmarkEnd w:id="11"/>
      <w:bookmarkEnd w:id="12"/>
      <w:bookmarkEnd w:id="13"/>
      <w:r w:rsidR="00477EDE" w:rsidRPr="00B06FEF">
        <w:rPr>
          <w:rStyle w:val="BodyTextChar"/>
        </w:rPr>
        <w:t>.</w:t>
      </w:r>
      <w:bookmarkEnd w:id="14"/>
      <w:bookmarkEnd w:id="15"/>
      <w:bookmarkEnd w:id="16"/>
      <w:bookmarkEnd w:id="17"/>
      <w:bookmarkEnd w:id="18"/>
    </w:p>
    <w:p w14:paraId="45D9B836" w14:textId="026DD3FF" w:rsidR="00B30EBC" w:rsidRDefault="007349B8" w:rsidP="00B06FEF">
      <w:pPr>
        <w:pStyle w:val="Proposal"/>
        <w:numPr>
          <w:ilvl w:val="0"/>
          <w:numId w:val="36"/>
        </w:numPr>
        <w:tabs>
          <w:tab w:val="clear" w:pos="1304"/>
          <w:tab w:val="num" w:pos="1843"/>
        </w:tabs>
        <w:ind w:left="1701" w:hanging="1701"/>
        <w:rPr>
          <w:rStyle w:val="BodyTextChar"/>
        </w:rPr>
      </w:pPr>
      <w:bookmarkStart w:id="19" w:name="_Toc501576378"/>
      <w:bookmarkStart w:id="20" w:name="_Toc503352902"/>
      <w:bookmarkStart w:id="21" w:name="_Toc503353911"/>
      <w:bookmarkStart w:id="22" w:name="_Toc503376684"/>
      <w:bookmarkStart w:id="23" w:name="_Toc503429735"/>
      <w:bookmarkStart w:id="24" w:name="_Toc503460879"/>
      <w:bookmarkStart w:id="25" w:name="_Toc505606524"/>
      <w:bookmarkStart w:id="26" w:name="_Toc505606540"/>
      <w:bookmarkStart w:id="27" w:name="_Toc505606654"/>
      <w:bookmarkStart w:id="28" w:name="_Toc505979457"/>
      <w:bookmarkStart w:id="29" w:name="_Toc505981394"/>
      <w:bookmarkStart w:id="30" w:name="_Toc506484476"/>
      <w:bookmarkStart w:id="31" w:name="_Toc510700783"/>
      <w:bookmarkStart w:id="32" w:name="_Toc510721148"/>
      <w:r w:rsidRPr="00732E1A">
        <w:rPr>
          <w:rStyle w:val="BodyTextChar"/>
        </w:rPr>
        <w:t xml:space="preserve">Upon reception of a BI the UE </w:t>
      </w:r>
      <w:r w:rsidR="00477EDE">
        <w:rPr>
          <w:rStyle w:val="BodyTextChar"/>
        </w:rPr>
        <w:t>may</w:t>
      </w:r>
      <w:r w:rsidRPr="00732E1A">
        <w:rPr>
          <w:rStyle w:val="BodyTextChar"/>
        </w:rPr>
        <w:t xml:space="preserve"> switch to another beam/SSB which </w:t>
      </w:r>
      <w:bookmarkEnd w:id="19"/>
      <w:r w:rsidR="00E2650A" w:rsidRPr="00732E1A">
        <w:t xml:space="preserve">is </w:t>
      </w:r>
      <w:r w:rsidR="001752AC" w:rsidRPr="00732E1A">
        <w:t xml:space="preserve">above </w:t>
      </w:r>
      <w:r w:rsidR="00E2650A" w:rsidRPr="00732E1A">
        <w:t xml:space="preserve">the </w:t>
      </w:r>
      <w:r w:rsidR="00E2650A" w:rsidRPr="007D75E7">
        <w:rPr>
          <w:i/>
        </w:rPr>
        <w:t>ssb-Threshold</w:t>
      </w:r>
      <w:bookmarkEnd w:id="20"/>
      <w:bookmarkEnd w:id="21"/>
      <w:r w:rsidR="00732E1A">
        <w:rPr>
          <w:rStyle w:val="BodyTextChar"/>
        </w:rPr>
        <w:t>.</w:t>
      </w:r>
      <w:bookmarkEnd w:id="22"/>
      <w:bookmarkEnd w:id="23"/>
      <w:bookmarkEnd w:id="24"/>
      <w:bookmarkEnd w:id="25"/>
      <w:bookmarkEnd w:id="26"/>
      <w:bookmarkEnd w:id="27"/>
      <w:bookmarkEnd w:id="28"/>
      <w:bookmarkEnd w:id="29"/>
      <w:bookmarkEnd w:id="30"/>
      <w:bookmarkEnd w:id="31"/>
      <w:bookmarkEnd w:id="32"/>
    </w:p>
    <w:p w14:paraId="01FC341A" w14:textId="5A51C6E9" w:rsidR="0057505D" w:rsidRDefault="0057505D" w:rsidP="00A442DF">
      <w:r w:rsidRPr="00A442DF">
        <w:t xml:space="preserve">When a UE switches to a </w:t>
      </w:r>
      <w:r w:rsidR="00F629B0">
        <w:t>new</w:t>
      </w:r>
      <w:r w:rsidRPr="00A442DF">
        <w:t xml:space="preserve"> SSB upon reception of a BI on the </w:t>
      </w:r>
      <w:r w:rsidR="00F629B0">
        <w:t>old</w:t>
      </w:r>
      <w:r w:rsidRPr="00A442DF">
        <w:t xml:space="preserve"> SSB, the UE ignores the received BI since it is related to the old SSB, so the UE can directly start to transmit a preamble on </w:t>
      </w:r>
      <w:r w:rsidR="00F629B0">
        <w:t xml:space="preserve">the new </w:t>
      </w:r>
      <w:r w:rsidR="000F3D4B">
        <w:t>other</w:t>
      </w:r>
      <w:r w:rsidRPr="00A442DF">
        <w:t xml:space="preserve"> SSB. At the same time, if the UE </w:t>
      </w:r>
      <w:r w:rsidR="001755BA">
        <w:t>does not receive the RAR on the new SSB</w:t>
      </w:r>
      <w:r w:rsidRPr="00A442DF">
        <w:t xml:space="preserve">, the UE </w:t>
      </w:r>
      <w:r w:rsidR="001755BA">
        <w:t>shall not</w:t>
      </w:r>
      <w:r w:rsidRPr="00A442DF">
        <w:t xml:space="preserve"> switch back to the old SSB before the backoff timer on the old SSB has expired. In this way, the UE must support SSB specific backoff timer to keep track of the backoff operations per SSB.</w:t>
      </w:r>
    </w:p>
    <w:p w14:paraId="74F6B699" w14:textId="797B305E" w:rsidR="0057505D" w:rsidRDefault="0057505D" w:rsidP="0057505D">
      <w:pPr>
        <w:pStyle w:val="Proposal"/>
        <w:numPr>
          <w:ilvl w:val="0"/>
          <w:numId w:val="36"/>
        </w:numPr>
        <w:tabs>
          <w:tab w:val="clear" w:pos="1304"/>
          <w:tab w:val="num" w:pos="1843"/>
        </w:tabs>
        <w:ind w:left="1701" w:hanging="1701"/>
        <w:rPr>
          <w:rStyle w:val="BodyTextChar"/>
        </w:rPr>
      </w:pPr>
      <w:bookmarkStart w:id="33" w:name="_Toc505606525"/>
      <w:bookmarkStart w:id="34" w:name="_Toc505606541"/>
      <w:bookmarkStart w:id="35" w:name="_Toc505606655"/>
      <w:bookmarkStart w:id="36" w:name="_Toc505979458"/>
      <w:bookmarkStart w:id="37" w:name="_Toc505981395"/>
      <w:bookmarkStart w:id="38" w:name="_Toc506484477"/>
      <w:bookmarkStart w:id="39" w:name="_Toc510700784"/>
      <w:bookmarkStart w:id="40" w:name="_Toc510721149"/>
      <w:r>
        <w:rPr>
          <w:rStyle w:val="BodyTextChar"/>
        </w:rPr>
        <w:t xml:space="preserve">Support SSB specific backoff timer if </w:t>
      </w:r>
      <w:bookmarkEnd w:id="33"/>
      <w:bookmarkEnd w:id="34"/>
      <w:r>
        <w:rPr>
          <w:rStyle w:val="BodyTextChar"/>
        </w:rPr>
        <w:t>UE can switch to another SSB upon reception of a BI</w:t>
      </w:r>
      <w:bookmarkEnd w:id="35"/>
      <w:r w:rsidR="00A442DF">
        <w:rPr>
          <w:rStyle w:val="BodyTextChar"/>
        </w:rPr>
        <w:t xml:space="preserve"> on the current SSB</w:t>
      </w:r>
      <w:bookmarkEnd w:id="36"/>
      <w:bookmarkEnd w:id="37"/>
      <w:r w:rsidR="00D403D7">
        <w:rPr>
          <w:rStyle w:val="BodyTextChar"/>
        </w:rPr>
        <w:t>.</w:t>
      </w:r>
      <w:bookmarkEnd w:id="38"/>
      <w:bookmarkEnd w:id="39"/>
      <w:bookmarkEnd w:id="40"/>
    </w:p>
    <w:p w14:paraId="3F7E95E4" w14:textId="4E5712F3" w:rsidR="00535089" w:rsidRDefault="00535089" w:rsidP="00535089">
      <w:pPr>
        <w:pStyle w:val="BodyText"/>
        <w:rPr>
          <w:rStyle w:val="BodyTextChar"/>
        </w:rPr>
      </w:pPr>
      <w:r w:rsidRPr="000D7E21">
        <w:rPr>
          <w:rStyle w:val="BodyTextChar"/>
        </w:rPr>
        <w:t xml:space="preserve">There is a CR </w:t>
      </w:r>
      <w:bookmarkStart w:id="41" w:name="_GoBack"/>
      <w:bookmarkEnd w:id="41"/>
      <w:r w:rsidRPr="007B66D5">
        <w:rPr>
          <w:rStyle w:val="BodyTextChar"/>
        </w:rPr>
        <w:t xml:space="preserve">available in </w:t>
      </w:r>
      <w:r w:rsidR="000A7F06" w:rsidRPr="007B66D5">
        <w:rPr>
          <w:rStyle w:val="BodyTextChar"/>
        </w:rPr>
        <w:t>R2-180</w:t>
      </w:r>
      <w:r w:rsidR="007B66D5" w:rsidRPr="007B66D5">
        <w:rPr>
          <w:rStyle w:val="BodyTextChar"/>
        </w:rPr>
        <w:t>7026</w:t>
      </w:r>
      <w:r w:rsidRPr="007B66D5">
        <w:rPr>
          <w:rStyle w:val="BodyTextChar"/>
        </w:rPr>
        <w:t>.</w:t>
      </w:r>
    </w:p>
    <w:p w14:paraId="41EB6CF5" w14:textId="0F6F9DAF" w:rsidR="009705A9" w:rsidRDefault="00C01F33" w:rsidP="008E065E">
      <w:pPr>
        <w:pStyle w:val="Heading1"/>
      </w:pPr>
      <w:r w:rsidRPr="00CE0424">
        <w:t>Conclusion</w:t>
      </w:r>
      <w:r w:rsidR="00521FE6">
        <w:t>s</w:t>
      </w:r>
    </w:p>
    <w:p w14:paraId="3440EAC8" w14:textId="4B3A1B7D" w:rsidR="009705A9" w:rsidRDefault="008E065E" w:rsidP="008E065E">
      <w:pPr>
        <w:pStyle w:val="BodyText"/>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7C1ED5">
        <w:t>2</w:t>
      </w:r>
      <w:r w:rsidRPr="00CE0424">
        <w:rPr>
          <w:highlight w:val="cyan"/>
        </w:rPr>
        <w:fldChar w:fldCharType="end"/>
      </w:r>
      <w:r w:rsidRPr="00CE0424">
        <w:t xml:space="preserve"> we </w:t>
      </w:r>
      <w:r w:rsidR="009705A9">
        <w:t xml:space="preserve">make the following observations and </w:t>
      </w:r>
      <w:r w:rsidRPr="00CE0424">
        <w:t>propose the following:</w:t>
      </w:r>
    </w:p>
    <w:p w14:paraId="66BFC56E" w14:textId="77777777" w:rsidR="00CC7EF3" w:rsidRPr="00CC7EF3" w:rsidRDefault="009705A9">
      <w:pPr>
        <w:pStyle w:val="TOC1"/>
        <w:rPr>
          <w:rFonts w:asciiTheme="minorHAnsi" w:eastAsiaTheme="minorEastAsia" w:hAnsiTheme="minorHAnsi" w:cstheme="minorBidi"/>
          <w:b w:val="0"/>
          <w:sz w:val="22"/>
        </w:rPr>
      </w:pPr>
      <w:r>
        <w:rPr>
          <w:b w:val="0"/>
          <w:bCs/>
        </w:rPr>
        <w:fldChar w:fldCharType="begin"/>
      </w:r>
      <w:r>
        <w:rPr>
          <w:bCs/>
        </w:rPr>
        <w:instrText xml:space="preserve"> TOC \f \n \p " " \t "Observation" </w:instrText>
      </w:r>
      <w:r>
        <w:rPr>
          <w:b w:val="0"/>
          <w:bCs/>
        </w:rPr>
        <w:fldChar w:fldCharType="separate"/>
      </w:r>
      <w:r w:rsidR="00CC7EF3" w:rsidRPr="004D2FDB">
        <w:rPr>
          <w:rFonts w:cs="Arial"/>
        </w:rPr>
        <w:t>Observation 1</w:t>
      </w:r>
      <w:r w:rsidR="00CC7EF3" w:rsidRPr="00CC7EF3">
        <w:rPr>
          <w:rFonts w:asciiTheme="minorHAnsi" w:eastAsiaTheme="minorEastAsia" w:hAnsiTheme="minorHAnsi" w:cstheme="minorBidi"/>
          <w:b w:val="0"/>
          <w:sz w:val="22"/>
        </w:rPr>
        <w:tab/>
      </w:r>
      <w:r w:rsidR="00CC7EF3" w:rsidRPr="004D2FDB">
        <w:rPr>
          <w:rFonts w:cs="Arial"/>
        </w:rPr>
        <w:t>It is not efficient to leave for UE implementation on how to select the SSBs for RA access.</w:t>
      </w:r>
    </w:p>
    <w:p w14:paraId="660605BE" w14:textId="77777777" w:rsidR="00CC7EF3" w:rsidRPr="00CC7EF3" w:rsidRDefault="00CC7EF3">
      <w:pPr>
        <w:pStyle w:val="TOC1"/>
        <w:rPr>
          <w:rFonts w:asciiTheme="minorHAnsi" w:eastAsiaTheme="minorEastAsia" w:hAnsiTheme="minorHAnsi" w:cstheme="minorBidi"/>
          <w:b w:val="0"/>
          <w:sz w:val="22"/>
        </w:rPr>
      </w:pPr>
      <w:r w:rsidRPr="004D2FDB">
        <w:t>Observation 2</w:t>
      </w:r>
      <w:r w:rsidRPr="00CC7EF3">
        <w:rPr>
          <w:rFonts w:asciiTheme="minorHAnsi" w:eastAsiaTheme="minorEastAsia" w:hAnsiTheme="minorHAnsi" w:cstheme="minorBidi"/>
          <w:b w:val="0"/>
          <w:sz w:val="22"/>
        </w:rPr>
        <w:tab/>
      </w:r>
      <w:r>
        <w:t>It may occur that the beam which is used for RA is experiencing high load resulting in that the gNB is unable to handle the UEs’ RA attempts and instead sends a BI to the UEs. The UE performs back-off and continues to use the same beam which leads to an unnecessary long latency.</w:t>
      </w:r>
    </w:p>
    <w:p w14:paraId="4A84AB81" w14:textId="77777777" w:rsidR="00CC7EF3" w:rsidRDefault="009705A9">
      <w:pPr>
        <w:pStyle w:val="TOC1"/>
      </w:pPr>
      <w:r>
        <w:rPr>
          <w:b w:val="0"/>
          <w:bCs/>
        </w:rPr>
        <w:fldChar w:fldCharType="end"/>
      </w:r>
      <w:r w:rsidR="008E065E">
        <w:rPr>
          <w:b w:val="0"/>
          <w:bCs/>
        </w:rPr>
        <w:fldChar w:fldCharType="begin"/>
      </w:r>
      <w:r w:rsidR="005B06D4">
        <w:rPr>
          <w:bCs/>
        </w:rPr>
        <w:instrText xml:space="preserve"> TOC \f \n \p " " \t "Proposal</w:instrText>
      </w:r>
      <w:r w:rsidR="008E065E">
        <w:rPr>
          <w:bCs/>
        </w:rPr>
        <w:instrText xml:space="preserve">" </w:instrText>
      </w:r>
      <w:r w:rsidR="008E065E">
        <w:rPr>
          <w:b w:val="0"/>
          <w:bCs/>
        </w:rPr>
        <w:fldChar w:fldCharType="separate"/>
      </w:r>
    </w:p>
    <w:p w14:paraId="5EB44203" w14:textId="77777777" w:rsidR="00CC7EF3" w:rsidRPr="00CC7EF3" w:rsidRDefault="00CC7EF3">
      <w:pPr>
        <w:pStyle w:val="TOC1"/>
        <w:rPr>
          <w:rFonts w:asciiTheme="minorHAnsi" w:eastAsiaTheme="minorEastAsia" w:hAnsiTheme="minorHAnsi" w:cstheme="minorBidi"/>
          <w:b w:val="0"/>
          <w:sz w:val="22"/>
        </w:rPr>
      </w:pPr>
      <w:r>
        <w:t>Proposal 1</w:t>
      </w:r>
      <w:r w:rsidRPr="00CC7EF3">
        <w:rPr>
          <w:rFonts w:asciiTheme="minorHAnsi" w:eastAsiaTheme="minorEastAsia" w:hAnsiTheme="minorHAnsi" w:cstheme="minorBidi"/>
          <w:b w:val="0"/>
          <w:sz w:val="22"/>
        </w:rPr>
        <w:tab/>
      </w:r>
      <w:r>
        <w:t xml:space="preserve">Upon reception of a BI the UE may switch to another beam/SSB which is above the </w:t>
      </w:r>
      <w:r w:rsidRPr="00AF749C">
        <w:rPr>
          <w:i/>
        </w:rPr>
        <w:t>ssb-Threshold</w:t>
      </w:r>
      <w:r>
        <w:t>.</w:t>
      </w:r>
    </w:p>
    <w:p w14:paraId="4455583D" w14:textId="77777777" w:rsidR="00CC7EF3" w:rsidRPr="00CC7EF3" w:rsidRDefault="00CC7EF3">
      <w:pPr>
        <w:pStyle w:val="TOC1"/>
        <w:rPr>
          <w:rFonts w:asciiTheme="minorHAnsi" w:eastAsiaTheme="minorEastAsia" w:hAnsiTheme="minorHAnsi" w:cstheme="minorBidi"/>
          <w:b w:val="0"/>
          <w:sz w:val="22"/>
        </w:rPr>
      </w:pPr>
      <w:r>
        <w:t>Proposal 2</w:t>
      </w:r>
      <w:r w:rsidRPr="00CC7EF3">
        <w:rPr>
          <w:rFonts w:asciiTheme="minorHAnsi" w:eastAsiaTheme="minorEastAsia" w:hAnsiTheme="minorHAnsi" w:cstheme="minorBidi"/>
          <w:b w:val="0"/>
          <w:sz w:val="22"/>
        </w:rPr>
        <w:tab/>
      </w:r>
      <w:r>
        <w:t>Support SSB specific backoff timer if UE can switch to another SSB upon reception of a BI on the current SSB.</w:t>
      </w:r>
    </w:p>
    <w:p w14:paraId="6A9B0059" w14:textId="2CF9AF98" w:rsidR="00C97E18" w:rsidRPr="00B957A0" w:rsidRDefault="008E065E" w:rsidP="00B957A0">
      <w:pPr>
        <w:rPr>
          <w:b/>
          <w:bCs/>
        </w:rPr>
      </w:pPr>
      <w:r>
        <w:rPr>
          <w:b/>
          <w:bCs/>
        </w:rPr>
        <w:fldChar w:fldCharType="end"/>
      </w:r>
      <w:bookmarkStart w:id="42" w:name="_In-sequence_SDU_delivery"/>
      <w:bookmarkStart w:id="43" w:name="_Ref174151459"/>
      <w:bookmarkStart w:id="44" w:name="_Ref189809556"/>
      <w:bookmarkEnd w:id="42"/>
      <w:bookmarkEnd w:id="43"/>
      <w:bookmarkEnd w:id="44"/>
    </w:p>
    <w:sectPr w:rsidR="00C97E18" w:rsidRPr="00B957A0">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3AA7D3" w14:textId="77777777" w:rsidR="00AE0A35" w:rsidRDefault="00AE0A35">
      <w:r>
        <w:separator/>
      </w:r>
    </w:p>
  </w:endnote>
  <w:endnote w:type="continuationSeparator" w:id="0">
    <w:p w14:paraId="1D182958" w14:textId="77777777" w:rsidR="00AE0A35" w:rsidRDefault="00AE0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4D707" w14:textId="77777777" w:rsidR="002004F2" w:rsidRDefault="00200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77196A" w14:textId="77777777" w:rsidR="002004F2" w:rsidRDefault="00200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0484DA" w14:textId="77777777" w:rsidR="002004F2" w:rsidRDefault="00200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22951B" w14:textId="77777777" w:rsidR="00AE0A35" w:rsidRDefault="00AE0A35">
      <w:r>
        <w:separator/>
      </w:r>
    </w:p>
  </w:footnote>
  <w:footnote w:type="continuationSeparator" w:id="0">
    <w:p w14:paraId="2346CD4D" w14:textId="77777777" w:rsidR="00AE0A35" w:rsidRDefault="00AE0A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D896BA" w14:textId="77777777" w:rsidR="002004F2" w:rsidRDefault="002004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8632B7" w14:textId="77777777" w:rsidR="002004F2" w:rsidRDefault="00200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8F1C74" w14:textId="77777777" w:rsidR="002004F2" w:rsidRDefault="00200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4AE3D80"/>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3EA24FB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CE5652A0"/>
    <w:lvl w:ilvl="0">
      <w:start w:val="1"/>
      <w:numFmt w:val="decimal"/>
      <w:lvlText w:val="%1."/>
      <w:lvlJc w:val="left"/>
      <w:pPr>
        <w:tabs>
          <w:tab w:val="num" w:pos="926"/>
        </w:tabs>
        <w:ind w:left="926" w:hanging="360"/>
      </w:pPr>
    </w:lvl>
  </w:abstractNum>
  <w:abstractNum w:abstractNumId="4" w15:restartNumberingAfterBreak="0">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0D9D76B5"/>
    <w:multiLevelType w:val="hybridMultilevel"/>
    <w:tmpl w:val="561AA26A"/>
    <w:lvl w:ilvl="0" w:tplc="3006B626">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C90624"/>
    <w:multiLevelType w:val="hybridMultilevel"/>
    <w:tmpl w:val="7F9AC9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E40CAB"/>
    <w:multiLevelType w:val="hybridMultilevel"/>
    <w:tmpl w:val="3EB86912"/>
    <w:lvl w:ilvl="0" w:tplc="AB66FBD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1" w15:restartNumberingAfterBreak="0">
    <w:nsid w:val="20977399"/>
    <w:multiLevelType w:val="hybridMultilevel"/>
    <w:tmpl w:val="9442442C"/>
    <w:lvl w:ilvl="0" w:tplc="F854678A">
      <w:start w:val="3"/>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3511171"/>
    <w:multiLevelType w:val="hybridMultilevel"/>
    <w:tmpl w:val="C0E6DBAE"/>
    <w:lvl w:ilvl="0" w:tplc="041D0011">
      <w:start w:val="1"/>
      <w:numFmt w:val="decimal"/>
      <w:lvlText w:val="%1)"/>
      <w:lvlJc w:val="left"/>
      <w:pPr>
        <w:ind w:left="360" w:hanging="360"/>
      </w:p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start w:val="1"/>
      <w:numFmt w:val="decimal"/>
      <w:lvlText w:val="%4."/>
      <w:lvlJc w:val="left"/>
      <w:pPr>
        <w:ind w:left="2520" w:hanging="360"/>
      </w:pPr>
    </w:lvl>
    <w:lvl w:ilvl="4" w:tplc="041D0019">
      <w:start w:val="1"/>
      <w:numFmt w:val="lowerLetter"/>
      <w:lvlText w:val="%5."/>
      <w:lvlJc w:val="left"/>
      <w:pPr>
        <w:ind w:left="3240" w:hanging="360"/>
      </w:pPr>
    </w:lvl>
    <w:lvl w:ilvl="5" w:tplc="041D001B">
      <w:start w:val="1"/>
      <w:numFmt w:val="lowerRoman"/>
      <w:lvlText w:val="%6."/>
      <w:lvlJc w:val="right"/>
      <w:pPr>
        <w:ind w:left="3960" w:hanging="180"/>
      </w:pPr>
    </w:lvl>
    <w:lvl w:ilvl="6" w:tplc="041D000F">
      <w:start w:val="1"/>
      <w:numFmt w:val="decimal"/>
      <w:lvlText w:val="%7."/>
      <w:lvlJc w:val="left"/>
      <w:pPr>
        <w:ind w:left="4680" w:hanging="360"/>
      </w:pPr>
    </w:lvl>
    <w:lvl w:ilvl="7" w:tplc="041D0019">
      <w:start w:val="1"/>
      <w:numFmt w:val="lowerLetter"/>
      <w:lvlText w:val="%8."/>
      <w:lvlJc w:val="left"/>
      <w:pPr>
        <w:ind w:left="5400" w:hanging="360"/>
      </w:pPr>
    </w:lvl>
    <w:lvl w:ilvl="8" w:tplc="041D001B">
      <w:start w:val="1"/>
      <w:numFmt w:val="lowerRoman"/>
      <w:lvlText w:val="%9."/>
      <w:lvlJc w:val="right"/>
      <w:pPr>
        <w:ind w:left="6120" w:hanging="180"/>
      </w:pPr>
    </w:lvl>
  </w:abstractNum>
  <w:abstractNum w:abstractNumId="13" w15:restartNumberingAfterBreak="0">
    <w:nsid w:val="23B76A21"/>
    <w:multiLevelType w:val="hybridMultilevel"/>
    <w:tmpl w:val="9D4CDF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9E5F05"/>
    <w:multiLevelType w:val="hybridMultilevel"/>
    <w:tmpl w:val="9E7EEEFA"/>
    <w:lvl w:ilvl="0" w:tplc="BEECEB2C">
      <w:start w:val="3"/>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9850E2C"/>
    <w:multiLevelType w:val="hybridMultilevel"/>
    <w:tmpl w:val="4B50C218"/>
    <w:lvl w:ilvl="0" w:tplc="FF9EDF9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02063A"/>
    <w:multiLevelType w:val="hybridMultilevel"/>
    <w:tmpl w:val="A21EDC8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99760DD"/>
    <w:multiLevelType w:val="hybridMultilevel"/>
    <w:tmpl w:val="9D3ECF84"/>
    <w:lvl w:ilvl="0" w:tplc="215081A8">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9B01D1C"/>
    <w:multiLevelType w:val="hybridMultilevel"/>
    <w:tmpl w:val="9926D864"/>
    <w:lvl w:ilvl="0" w:tplc="CF9C24BC">
      <w:start w:val="20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3F4F34"/>
    <w:multiLevelType w:val="hybridMultilevel"/>
    <w:tmpl w:val="040A56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2F46ED5"/>
    <w:multiLevelType w:val="hybridMultilevel"/>
    <w:tmpl w:val="6B4E24F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67C539DF"/>
    <w:multiLevelType w:val="hybridMultilevel"/>
    <w:tmpl w:val="0F4C35FE"/>
    <w:lvl w:ilvl="0" w:tplc="DFDA707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15:restartNumberingAfterBreak="0">
    <w:nsid w:val="69B62E82"/>
    <w:multiLevelType w:val="hybridMultilevel"/>
    <w:tmpl w:val="B17A0840"/>
    <w:lvl w:ilvl="0" w:tplc="929AB54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71BF0AFF"/>
    <w:multiLevelType w:val="hybridMultilevel"/>
    <w:tmpl w:val="F824213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79087402"/>
    <w:multiLevelType w:val="hybridMultilevel"/>
    <w:tmpl w:val="63E81D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7"/>
  </w:num>
  <w:num w:numId="2">
    <w:abstractNumId w:val="25"/>
  </w:num>
  <w:num w:numId="3">
    <w:abstractNumId w:val="19"/>
  </w:num>
  <w:num w:numId="4">
    <w:abstractNumId w:val="21"/>
  </w:num>
  <w:num w:numId="5">
    <w:abstractNumId w:val="17"/>
  </w:num>
  <w:num w:numId="6">
    <w:abstractNumId w:val="22"/>
  </w:num>
  <w:num w:numId="7">
    <w:abstractNumId w:val="27"/>
  </w:num>
  <w:num w:numId="8">
    <w:abstractNumId w:val="18"/>
  </w:num>
  <w:num w:numId="9">
    <w:abstractNumId w:val="16"/>
  </w:num>
  <w:num w:numId="10">
    <w:abstractNumId w:val="3"/>
  </w:num>
  <w:num w:numId="11">
    <w:abstractNumId w:val="2"/>
  </w:num>
  <w:num w:numId="12">
    <w:abstractNumId w:val="1"/>
  </w:num>
  <w:num w:numId="13">
    <w:abstractNumId w:val="26"/>
  </w:num>
  <w:num w:numId="14">
    <w:abstractNumId w:val="0"/>
  </w:num>
  <w:num w:numId="15">
    <w:abstractNumId w:val="30"/>
  </w:num>
  <w:num w:numId="16">
    <w:abstractNumId w:val="15"/>
  </w:num>
  <w:num w:numId="17">
    <w:abstractNumId w:val="32"/>
  </w:num>
  <w:num w:numId="18">
    <w:abstractNumId w:val="11"/>
  </w:num>
  <w:num w:numId="19">
    <w:abstractNumId w:val="10"/>
  </w:num>
  <w:num w:numId="20">
    <w:abstractNumId w:val="8"/>
  </w:num>
  <w:num w:numId="21">
    <w:abstractNumId w:val="13"/>
  </w:num>
  <w:num w:numId="22">
    <w:abstractNumId w:val="9"/>
  </w:num>
  <w:num w:numId="23">
    <w:abstractNumId w:val="24"/>
  </w:num>
  <w:num w:numId="24">
    <w:abstractNumId w:val="31"/>
  </w:num>
  <w:num w:numId="25">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6"/>
  </w:num>
  <w:num w:numId="27">
    <w:abstractNumId w:val="4"/>
  </w:num>
  <w:num w:numId="28">
    <w:abstractNumId w:val="28"/>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num>
  <w:num w:numId="32">
    <w:abstractNumId w:val="35"/>
  </w:num>
  <w:num w:numId="33">
    <w:abstractNumId w:val="33"/>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0"/>
  </w:num>
  <w:num w:numId="39">
    <w:abstractNumId w:val="34"/>
  </w:num>
  <w:num w:numId="40">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228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1ED5"/>
    <w:rsid w:val="000006E1"/>
    <w:rsid w:val="00002A37"/>
    <w:rsid w:val="000039CC"/>
    <w:rsid w:val="000039F4"/>
    <w:rsid w:val="00006446"/>
    <w:rsid w:val="00006896"/>
    <w:rsid w:val="00006E93"/>
    <w:rsid w:val="00007CDC"/>
    <w:rsid w:val="00011B28"/>
    <w:rsid w:val="000134E3"/>
    <w:rsid w:val="00015D15"/>
    <w:rsid w:val="00016F4C"/>
    <w:rsid w:val="000210B9"/>
    <w:rsid w:val="0002564D"/>
    <w:rsid w:val="00025ECA"/>
    <w:rsid w:val="000261AF"/>
    <w:rsid w:val="00027929"/>
    <w:rsid w:val="000305A9"/>
    <w:rsid w:val="000325B8"/>
    <w:rsid w:val="00034C15"/>
    <w:rsid w:val="00036BA1"/>
    <w:rsid w:val="00041298"/>
    <w:rsid w:val="00041CE5"/>
    <w:rsid w:val="000422E2"/>
    <w:rsid w:val="00042B50"/>
    <w:rsid w:val="00042F22"/>
    <w:rsid w:val="000444EF"/>
    <w:rsid w:val="00052A07"/>
    <w:rsid w:val="000534E3"/>
    <w:rsid w:val="0005606A"/>
    <w:rsid w:val="0005631A"/>
    <w:rsid w:val="00057117"/>
    <w:rsid w:val="000616E7"/>
    <w:rsid w:val="0006487E"/>
    <w:rsid w:val="00065E1A"/>
    <w:rsid w:val="000725C4"/>
    <w:rsid w:val="00077E5F"/>
    <w:rsid w:val="00080240"/>
    <w:rsid w:val="0008036A"/>
    <w:rsid w:val="00081AE6"/>
    <w:rsid w:val="0008302F"/>
    <w:rsid w:val="000855EB"/>
    <w:rsid w:val="00085B52"/>
    <w:rsid w:val="000866F2"/>
    <w:rsid w:val="0009009F"/>
    <w:rsid w:val="00091557"/>
    <w:rsid w:val="000924C1"/>
    <w:rsid w:val="000924F0"/>
    <w:rsid w:val="00093474"/>
    <w:rsid w:val="0009510F"/>
    <w:rsid w:val="000A1B7B"/>
    <w:rsid w:val="000A56F2"/>
    <w:rsid w:val="000A589F"/>
    <w:rsid w:val="000A7F06"/>
    <w:rsid w:val="000B0AA0"/>
    <w:rsid w:val="000B1D9E"/>
    <w:rsid w:val="000B2719"/>
    <w:rsid w:val="000B3A8F"/>
    <w:rsid w:val="000B4AB9"/>
    <w:rsid w:val="000B564A"/>
    <w:rsid w:val="000B58C3"/>
    <w:rsid w:val="000B61E9"/>
    <w:rsid w:val="000B6B94"/>
    <w:rsid w:val="000C165A"/>
    <w:rsid w:val="000C2E19"/>
    <w:rsid w:val="000C71DD"/>
    <w:rsid w:val="000D0D07"/>
    <w:rsid w:val="000D1FD4"/>
    <w:rsid w:val="000D4797"/>
    <w:rsid w:val="000D7E21"/>
    <w:rsid w:val="000E0527"/>
    <w:rsid w:val="000E13DA"/>
    <w:rsid w:val="000E1E92"/>
    <w:rsid w:val="000E606A"/>
    <w:rsid w:val="000E75AB"/>
    <w:rsid w:val="000F06D6"/>
    <w:rsid w:val="000F0EB1"/>
    <w:rsid w:val="000F1106"/>
    <w:rsid w:val="000F398F"/>
    <w:rsid w:val="000F3BE9"/>
    <w:rsid w:val="000F3D4B"/>
    <w:rsid w:val="000F3F6C"/>
    <w:rsid w:val="000F6DF3"/>
    <w:rsid w:val="001005FF"/>
    <w:rsid w:val="001062FB"/>
    <w:rsid w:val="001063E6"/>
    <w:rsid w:val="0010726D"/>
    <w:rsid w:val="00113CF4"/>
    <w:rsid w:val="001153EA"/>
    <w:rsid w:val="00115643"/>
    <w:rsid w:val="00116765"/>
    <w:rsid w:val="001219F5"/>
    <w:rsid w:val="00121A20"/>
    <w:rsid w:val="0012377F"/>
    <w:rsid w:val="00124314"/>
    <w:rsid w:val="00125606"/>
    <w:rsid w:val="00126B4A"/>
    <w:rsid w:val="00130276"/>
    <w:rsid w:val="00130E8D"/>
    <w:rsid w:val="00132FD0"/>
    <w:rsid w:val="001344C0"/>
    <w:rsid w:val="001346FA"/>
    <w:rsid w:val="0013474C"/>
    <w:rsid w:val="00135252"/>
    <w:rsid w:val="00137AB5"/>
    <w:rsid w:val="00137F0B"/>
    <w:rsid w:val="001416F5"/>
    <w:rsid w:val="00142F90"/>
    <w:rsid w:val="00147771"/>
    <w:rsid w:val="00151E23"/>
    <w:rsid w:val="001526E0"/>
    <w:rsid w:val="001551B5"/>
    <w:rsid w:val="001659C1"/>
    <w:rsid w:val="00173A8E"/>
    <w:rsid w:val="001752AC"/>
    <w:rsid w:val="001755BA"/>
    <w:rsid w:val="00177795"/>
    <w:rsid w:val="00177B2F"/>
    <w:rsid w:val="0018143F"/>
    <w:rsid w:val="00190AC1"/>
    <w:rsid w:val="0019341A"/>
    <w:rsid w:val="00196E24"/>
    <w:rsid w:val="00196FBC"/>
    <w:rsid w:val="00197DF9"/>
    <w:rsid w:val="001A1987"/>
    <w:rsid w:val="001A2564"/>
    <w:rsid w:val="001A32F6"/>
    <w:rsid w:val="001A6173"/>
    <w:rsid w:val="001A6CBA"/>
    <w:rsid w:val="001B0D97"/>
    <w:rsid w:val="001B5A5D"/>
    <w:rsid w:val="001C1CE5"/>
    <w:rsid w:val="001C3D2A"/>
    <w:rsid w:val="001C5C31"/>
    <w:rsid w:val="001D51BA"/>
    <w:rsid w:val="001D6342"/>
    <w:rsid w:val="001D6D53"/>
    <w:rsid w:val="001E58E2"/>
    <w:rsid w:val="001E7AED"/>
    <w:rsid w:val="001F1C05"/>
    <w:rsid w:val="001F3916"/>
    <w:rsid w:val="001F4AE6"/>
    <w:rsid w:val="001F54C5"/>
    <w:rsid w:val="001F662C"/>
    <w:rsid w:val="001F7074"/>
    <w:rsid w:val="00200490"/>
    <w:rsid w:val="002004F2"/>
    <w:rsid w:val="00201358"/>
    <w:rsid w:val="00201F3A"/>
    <w:rsid w:val="00203F96"/>
    <w:rsid w:val="0020605A"/>
    <w:rsid w:val="002069B2"/>
    <w:rsid w:val="00207FA3"/>
    <w:rsid w:val="0021438E"/>
    <w:rsid w:val="00214DA8"/>
    <w:rsid w:val="00215423"/>
    <w:rsid w:val="002154A7"/>
    <w:rsid w:val="002158FA"/>
    <w:rsid w:val="00220600"/>
    <w:rsid w:val="002224DB"/>
    <w:rsid w:val="00223FCB"/>
    <w:rsid w:val="002252C3"/>
    <w:rsid w:val="00225C54"/>
    <w:rsid w:val="0023040E"/>
    <w:rsid w:val="00230765"/>
    <w:rsid w:val="002319E4"/>
    <w:rsid w:val="00235632"/>
    <w:rsid w:val="00235872"/>
    <w:rsid w:val="00241559"/>
    <w:rsid w:val="002435B3"/>
    <w:rsid w:val="002458EB"/>
    <w:rsid w:val="002500C8"/>
    <w:rsid w:val="00256492"/>
    <w:rsid w:val="00257543"/>
    <w:rsid w:val="002612B9"/>
    <w:rsid w:val="002617E7"/>
    <w:rsid w:val="002640C8"/>
    <w:rsid w:val="00264228"/>
    <w:rsid w:val="00264334"/>
    <w:rsid w:val="0026473E"/>
    <w:rsid w:val="00266214"/>
    <w:rsid w:val="00267C83"/>
    <w:rsid w:val="0027144F"/>
    <w:rsid w:val="00271F3A"/>
    <w:rsid w:val="002725A0"/>
    <w:rsid w:val="00273278"/>
    <w:rsid w:val="002737F4"/>
    <w:rsid w:val="00273DBF"/>
    <w:rsid w:val="00280166"/>
    <w:rsid w:val="002805F5"/>
    <w:rsid w:val="00280751"/>
    <w:rsid w:val="0028077B"/>
    <w:rsid w:val="0028280A"/>
    <w:rsid w:val="00286ACD"/>
    <w:rsid w:val="00287838"/>
    <w:rsid w:val="002907B5"/>
    <w:rsid w:val="00292EB7"/>
    <w:rsid w:val="00296227"/>
    <w:rsid w:val="00296F44"/>
    <w:rsid w:val="0029777D"/>
    <w:rsid w:val="002A055E"/>
    <w:rsid w:val="002A1D4E"/>
    <w:rsid w:val="002A2869"/>
    <w:rsid w:val="002B04FB"/>
    <w:rsid w:val="002B1AC5"/>
    <w:rsid w:val="002B24D6"/>
    <w:rsid w:val="002C40E9"/>
    <w:rsid w:val="002C41E6"/>
    <w:rsid w:val="002C51C0"/>
    <w:rsid w:val="002D071A"/>
    <w:rsid w:val="002D34B2"/>
    <w:rsid w:val="002D7637"/>
    <w:rsid w:val="002E17F2"/>
    <w:rsid w:val="002E7CAE"/>
    <w:rsid w:val="002F06C2"/>
    <w:rsid w:val="002F2771"/>
    <w:rsid w:val="002F37A9"/>
    <w:rsid w:val="002F4141"/>
    <w:rsid w:val="00301747"/>
    <w:rsid w:val="00301CE6"/>
    <w:rsid w:val="0030256B"/>
    <w:rsid w:val="00302686"/>
    <w:rsid w:val="00303013"/>
    <w:rsid w:val="00303716"/>
    <w:rsid w:val="0030501F"/>
    <w:rsid w:val="00307220"/>
    <w:rsid w:val="00307BA1"/>
    <w:rsid w:val="00311702"/>
    <w:rsid w:val="00311E82"/>
    <w:rsid w:val="00313501"/>
    <w:rsid w:val="00313FD6"/>
    <w:rsid w:val="003143BD"/>
    <w:rsid w:val="00317086"/>
    <w:rsid w:val="003203ED"/>
    <w:rsid w:val="00322C9F"/>
    <w:rsid w:val="00322F42"/>
    <w:rsid w:val="00324D23"/>
    <w:rsid w:val="00331751"/>
    <w:rsid w:val="00332AB4"/>
    <w:rsid w:val="00334579"/>
    <w:rsid w:val="00334962"/>
    <w:rsid w:val="00335858"/>
    <w:rsid w:val="00335E32"/>
    <w:rsid w:val="00336BDA"/>
    <w:rsid w:val="00342BD7"/>
    <w:rsid w:val="00343A07"/>
    <w:rsid w:val="00344F9D"/>
    <w:rsid w:val="00346DB5"/>
    <w:rsid w:val="003477B1"/>
    <w:rsid w:val="0035115B"/>
    <w:rsid w:val="00352685"/>
    <w:rsid w:val="0035491B"/>
    <w:rsid w:val="00357380"/>
    <w:rsid w:val="00357F49"/>
    <w:rsid w:val="003602D9"/>
    <w:rsid w:val="003604CE"/>
    <w:rsid w:val="00363D69"/>
    <w:rsid w:val="00370E47"/>
    <w:rsid w:val="003742AC"/>
    <w:rsid w:val="00377CE1"/>
    <w:rsid w:val="00381069"/>
    <w:rsid w:val="00384DEA"/>
    <w:rsid w:val="00385BF0"/>
    <w:rsid w:val="00386D0F"/>
    <w:rsid w:val="0039101B"/>
    <w:rsid w:val="003939FF"/>
    <w:rsid w:val="003A2223"/>
    <w:rsid w:val="003A2A0F"/>
    <w:rsid w:val="003A45A1"/>
    <w:rsid w:val="003A5B0A"/>
    <w:rsid w:val="003A6BAC"/>
    <w:rsid w:val="003A7EF3"/>
    <w:rsid w:val="003B159C"/>
    <w:rsid w:val="003B1828"/>
    <w:rsid w:val="003B369F"/>
    <w:rsid w:val="003B36A3"/>
    <w:rsid w:val="003B460B"/>
    <w:rsid w:val="003B734D"/>
    <w:rsid w:val="003B7FE5"/>
    <w:rsid w:val="003C11C8"/>
    <w:rsid w:val="003C2702"/>
    <w:rsid w:val="003C3D72"/>
    <w:rsid w:val="003C6D22"/>
    <w:rsid w:val="003C6D7A"/>
    <w:rsid w:val="003C7806"/>
    <w:rsid w:val="003D109F"/>
    <w:rsid w:val="003D2478"/>
    <w:rsid w:val="003D3C45"/>
    <w:rsid w:val="003D3D71"/>
    <w:rsid w:val="003D5B1F"/>
    <w:rsid w:val="003E15FA"/>
    <w:rsid w:val="003E55E4"/>
    <w:rsid w:val="003E74E3"/>
    <w:rsid w:val="003F05C7"/>
    <w:rsid w:val="003F2CD4"/>
    <w:rsid w:val="003F4E96"/>
    <w:rsid w:val="003F6BBE"/>
    <w:rsid w:val="003F70E1"/>
    <w:rsid w:val="004000E8"/>
    <w:rsid w:val="00400757"/>
    <w:rsid w:val="00402E2B"/>
    <w:rsid w:val="0040512B"/>
    <w:rsid w:val="00405CA5"/>
    <w:rsid w:val="00407CD3"/>
    <w:rsid w:val="00410134"/>
    <w:rsid w:val="00410B72"/>
    <w:rsid w:val="00410F18"/>
    <w:rsid w:val="00411667"/>
    <w:rsid w:val="0041263E"/>
    <w:rsid w:val="00413AAC"/>
    <w:rsid w:val="00421105"/>
    <w:rsid w:val="00423C9A"/>
    <w:rsid w:val="004242F4"/>
    <w:rsid w:val="00427248"/>
    <w:rsid w:val="004358AC"/>
    <w:rsid w:val="00437447"/>
    <w:rsid w:val="004415AC"/>
    <w:rsid w:val="00441A92"/>
    <w:rsid w:val="0044494F"/>
    <w:rsid w:val="00444F56"/>
    <w:rsid w:val="00446488"/>
    <w:rsid w:val="004517AA"/>
    <w:rsid w:val="00452CAC"/>
    <w:rsid w:val="00457565"/>
    <w:rsid w:val="00457B71"/>
    <w:rsid w:val="004669E2"/>
    <w:rsid w:val="00470C31"/>
    <w:rsid w:val="004734D0"/>
    <w:rsid w:val="0047556B"/>
    <w:rsid w:val="00477768"/>
    <w:rsid w:val="00477EDE"/>
    <w:rsid w:val="004811C7"/>
    <w:rsid w:val="00492BC5"/>
    <w:rsid w:val="00495C03"/>
    <w:rsid w:val="004964F1"/>
    <w:rsid w:val="00496634"/>
    <w:rsid w:val="004A16BC"/>
    <w:rsid w:val="004A2B94"/>
    <w:rsid w:val="004A2FF6"/>
    <w:rsid w:val="004B45D0"/>
    <w:rsid w:val="004B486C"/>
    <w:rsid w:val="004B4E6E"/>
    <w:rsid w:val="004B7C0C"/>
    <w:rsid w:val="004C2DB9"/>
    <w:rsid w:val="004C33BB"/>
    <w:rsid w:val="004C3898"/>
    <w:rsid w:val="004C38B2"/>
    <w:rsid w:val="004C3DDB"/>
    <w:rsid w:val="004D313B"/>
    <w:rsid w:val="004D36B1"/>
    <w:rsid w:val="004D7EBD"/>
    <w:rsid w:val="004E00E1"/>
    <w:rsid w:val="004E2680"/>
    <w:rsid w:val="004E28F9"/>
    <w:rsid w:val="004E462E"/>
    <w:rsid w:val="004E56DC"/>
    <w:rsid w:val="004E76F4"/>
    <w:rsid w:val="004F0B4E"/>
    <w:rsid w:val="004F0B6C"/>
    <w:rsid w:val="004F2078"/>
    <w:rsid w:val="004F4DA3"/>
    <w:rsid w:val="004F534A"/>
    <w:rsid w:val="00500CE5"/>
    <w:rsid w:val="0050179F"/>
    <w:rsid w:val="00506557"/>
    <w:rsid w:val="0050677A"/>
    <w:rsid w:val="005108D8"/>
    <w:rsid w:val="0051165C"/>
    <w:rsid w:val="005116F9"/>
    <w:rsid w:val="005153A7"/>
    <w:rsid w:val="00515E01"/>
    <w:rsid w:val="005219CF"/>
    <w:rsid w:val="00521FE6"/>
    <w:rsid w:val="00524EE8"/>
    <w:rsid w:val="00534B59"/>
    <w:rsid w:val="00535089"/>
    <w:rsid w:val="00536759"/>
    <w:rsid w:val="00537C62"/>
    <w:rsid w:val="005411D6"/>
    <w:rsid w:val="00544AA4"/>
    <w:rsid w:val="00546970"/>
    <w:rsid w:val="00554E19"/>
    <w:rsid w:val="00560143"/>
    <w:rsid w:val="0056121F"/>
    <w:rsid w:val="005660F3"/>
    <w:rsid w:val="00572505"/>
    <w:rsid w:val="00574E8D"/>
    <w:rsid w:val="0057505D"/>
    <w:rsid w:val="00576E35"/>
    <w:rsid w:val="00582809"/>
    <w:rsid w:val="00583C1D"/>
    <w:rsid w:val="00583F06"/>
    <w:rsid w:val="00584942"/>
    <w:rsid w:val="0058798C"/>
    <w:rsid w:val="00587C10"/>
    <w:rsid w:val="005900FA"/>
    <w:rsid w:val="005935A4"/>
    <w:rsid w:val="005948C2"/>
    <w:rsid w:val="00595DCA"/>
    <w:rsid w:val="00595F11"/>
    <w:rsid w:val="0059779B"/>
    <w:rsid w:val="005A209A"/>
    <w:rsid w:val="005A3C01"/>
    <w:rsid w:val="005A662D"/>
    <w:rsid w:val="005A6C67"/>
    <w:rsid w:val="005B036E"/>
    <w:rsid w:val="005B06D4"/>
    <w:rsid w:val="005B1E5F"/>
    <w:rsid w:val="005B3027"/>
    <w:rsid w:val="005B35D7"/>
    <w:rsid w:val="005B392A"/>
    <w:rsid w:val="005B3AA3"/>
    <w:rsid w:val="005B591A"/>
    <w:rsid w:val="005B6F83"/>
    <w:rsid w:val="005C74FB"/>
    <w:rsid w:val="005D1602"/>
    <w:rsid w:val="005E385F"/>
    <w:rsid w:val="005E5B81"/>
    <w:rsid w:val="005E7C66"/>
    <w:rsid w:val="005F2CB1"/>
    <w:rsid w:val="005F3025"/>
    <w:rsid w:val="005F352D"/>
    <w:rsid w:val="005F360F"/>
    <w:rsid w:val="005F618C"/>
    <w:rsid w:val="005F70BD"/>
    <w:rsid w:val="0060283C"/>
    <w:rsid w:val="00604F14"/>
    <w:rsid w:val="00611B83"/>
    <w:rsid w:val="00613257"/>
    <w:rsid w:val="00615E98"/>
    <w:rsid w:val="0062059D"/>
    <w:rsid w:val="00620A71"/>
    <w:rsid w:val="00620D80"/>
    <w:rsid w:val="006234A6"/>
    <w:rsid w:val="00624CC8"/>
    <w:rsid w:val="00627190"/>
    <w:rsid w:val="00630001"/>
    <w:rsid w:val="006311B3"/>
    <w:rsid w:val="00631CA0"/>
    <w:rsid w:val="00631EA0"/>
    <w:rsid w:val="0063284C"/>
    <w:rsid w:val="006356A9"/>
    <w:rsid w:val="00636398"/>
    <w:rsid w:val="006368D3"/>
    <w:rsid w:val="006377EC"/>
    <w:rsid w:val="0064151F"/>
    <w:rsid w:val="00641533"/>
    <w:rsid w:val="00641AE9"/>
    <w:rsid w:val="0064208D"/>
    <w:rsid w:val="00643475"/>
    <w:rsid w:val="0064396A"/>
    <w:rsid w:val="0064624E"/>
    <w:rsid w:val="0064736C"/>
    <w:rsid w:val="00647FF6"/>
    <w:rsid w:val="00650AB9"/>
    <w:rsid w:val="00652805"/>
    <w:rsid w:val="00653430"/>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361"/>
    <w:rsid w:val="006776D7"/>
    <w:rsid w:val="006779AD"/>
    <w:rsid w:val="00681003"/>
    <w:rsid w:val="006817C9"/>
    <w:rsid w:val="00681C09"/>
    <w:rsid w:val="00683ECE"/>
    <w:rsid w:val="006914C4"/>
    <w:rsid w:val="00691B23"/>
    <w:rsid w:val="00695FC2"/>
    <w:rsid w:val="00696949"/>
    <w:rsid w:val="00697052"/>
    <w:rsid w:val="006A46FB"/>
    <w:rsid w:val="006A5E28"/>
    <w:rsid w:val="006A697B"/>
    <w:rsid w:val="006A6C98"/>
    <w:rsid w:val="006A7AFF"/>
    <w:rsid w:val="006B1816"/>
    <w:rsid w:val="006B1C16"/>
    <w:rsid w:val="006B2099"/>
    <w:rsid w:val="006B50CF"/>
    <w:rsid w:val="006B5311"/>
    <w:rsid w:val="006C03B8"/>
    <w:rsid w:val="006C09BA"/>
    <w:rsid w:val="006C3147"/>
    <w:rsid w:val="006C398B"/>
    <w:rsid w:val="006C5EC9"/>
    <w:rsid w:val="006C6059"/>
    <w:rsid w:val="006C7522"/>
    <w:rsid w:val="006D026F"/>
    <w:rsid w:val="006D29CD"/>
    <w:rsid w:val="006D56DE"/>
    <w:rsid w:val="006D6F08"/>
    <w:rsid w:val="006D7327"/>
    <w:rsid w:val="006E062C"/>
    <w:rsid w:val="006E22D8"/>
    <w:rsid w:val="006E28B7"/>
    <w:rsid w:val="006E3310"/>
    <w:rsid w:val="006E3485"/>
    <w:rsid w:val="006E4E39"/>
    <w:rsid w:val="006E565E"/>
    <w:rsid w:val="006E6488"/>
    <w:rsid w:val="006E673D"/>
    <w:rsid w:val="006E7D3B"/>
    <w:rsid w:val="006F1B70"/>
    <w:rsid w:val="006F2CD3"/>
    <w:rsid w:val="006F341D"/>
    <w:rsid w:val="006F3CDE"/>
    <w:rsid w:val="006F58D4"/>
    <w:rsid w:val="0070346E"/>
    <w:rsid w:val="00703F6A"/>
    <w:rsid w:val="00704EDB"/>
    <w:rsid w:val="0070574E"/>
    <w:rsid w:val="00706101"/>
    <w:rsid w:val="00707072"/>
    <w:rsid w:val="007072AC"/>
    <w:rsid w:val="00707D61"/>
    <w:rsid w:val="007105BB"/>
    <w:rsid w:val="007119FD"/>
    <w:rsid w:val="00712287"/>
    <w:rsid w:val="00712772"/>
    <w:rsid w:val="007148D3"/>
    <w:rsid w:val="00715B9A"/>
    <w:rsid w:val="00726EA6"/>
    <w:rsid w:val="00727208"/>
    <w:rsid w:val="00727680"/>
    <w:rsid w:val="007310B9"/>
    <w:rsid w:val="0073204F"/>
    <w:rsid w:val="00732E1A"/>
    <w:rsid w:val="007348B1"/>
    <w:rsid w:val="007349B8"/>
    <w:rsid w:val="007362A6"/>
    <w:rsid w:val="00736D7D"/>
    <w:rsid w:val="00740E58"/>
    <w:rsid w:val="007445A0"/>
    <w:rsid w:val="0074524B"/>
    <w:rsid w:val="00747D8B"/>
    <w:rsid w:val="00750F39"/>
    <w:rsid w:val="00751228"/>
    <w:rsid w:val="00751FE3"/>
    <w:rsid w:val="007536C1"/>
    <w:rsid w:val="00754251"/>
    <w:rsid w:val="007571E1"/>
    <w:rsid w:val="007604B2"/>
    <w:rsid w:val="00763EAD"/>
    <w:rsid w:val="007647E7"/>
    <w:rsid w:val="00765281"/>
    <w:rsid w:val="00766BAD"/>
    <w:rsid w:val="007730BD"/>
    <w:rsid w:val="007755F2"/>
    <w:rsid w:val="00776971"/>
    <w:rsid w:val="0078177E"/>
    <w:rsid w:val="0078304C"/>
    <w:rsid w:val="00783673"/>
    <w:rsid w:val="00785490"/>
    <w:rsid w:val="007925EA"/>
    <w:rsid w:val="00793CD8"/>
    <w:rsid w:val="00795C92"/>
    <w:rsid w:val="00796231"/>
    <w:rsid w:val="00797F2E"/>
    <w:rsid w:val="007A1464"/>
    <w:rsid w:val="007A1CB3"/>
    <w:rsid w:val="007A306F"/>
    <w:rsid w:val="007A43A6"/>
    <w:rsid w:val="007A58A6"/>
    <w:rsid w:val="007A6BF3"/>
    <w:rsid w:val="007B3D2D"/>
    <w:rsid w:val="007B50AE"/>
    <w:rsid w:val="007B51DF"/>
    <w:rsid w:val="007B66D5"/>
    <w:rsid w:val="007C05DD"/>
    <w:rsid w:val="007C1BE1"/>
    <w:rsid w:val="007C1ED5"/>
    <w:rsid w:val="007C3D18"/>
    <w:rsid w:val="007C60BF"/>
    <w:rsid w:val="007C6A07"/>
    <w:rsid w:val="007C75A1"/>
    <w:rsid w:val="007C77A5"/>
    <w:rsid w:val="007D04E5"/>
    <w:rsid w:val="007D0C00"/>
    <w:rsid w:val="007D35AC"/>
    <w:rsid w:val="007D5901"/>
    <w:rsid w:val="007D7526"/>
    <w:rsid w:val="007D75E7"/>
    <w:rsid w:val="007E4610"/>
    <w:rsid w:val="007E4715"/>
    <w:rsid w:val="007E505B"/>
    <w:rsid w:val="007E7091"/>
    <w:rsid w:val="007F23A9"/>
    <w:rsid w:val="00802303"/>
    <w:rsid w:val="008034CF"/>
    <w:rsid w:val="00803FAE"/>
    <w:rsid w:val="00804482"/>
    <w:rsid w:val="0080605F"/>
    <w:rsid w:val="00806CE6"/>
    <w:rsid w:val="00807786"/>
    <w:rsid w:val="00810CAD"/>
    <w:rsid w:val="00811FCB"/>
    <w:rsid w:val="008122F8"/>
    <w:rsid w:val="008158D6"/>
    <w:rsid w:val="00817196"/>
    <w:rsid w:val="00821921"/>
    <w:rsid w:val="008235DB"/>
    <w:rsid w:val="00824AB4"/>
    <w:rsid w:val="00825C42"/>
    <w:rsid w:val="00825D25"/>
    <w:rsid w:val="00827D6F"/>
    <w:rsid w:val="0083299B"/>
    <w:rsid w:val="008376AC"/>
    <w:rsid w:val="00840752"/>
    <w:rsid w:val="0084124A"/>
    <w:rsid w:val="0084391E"/>
    <w:rsid w:val="008444E8"/>
    <w:rsid w:val="00844E80"/>
    <w:rsid w:val="00846FE7"/>
    <w:rsid w:val="00854F97"/>
    <w:rsid w:val="00856911"/>
    <w:rsid w:val="00857E14"/>
    <w:rsid w:val="0086465C"/>
    <w:rsid w:val="008677FD"/>
    <w:rsid w:val="008706D4"/>
    <w:rsid w:val="00870F8A"/>
    <w:rsid w:val="008719A4"/>
    <w:rsid w:val="00871D23"/>
    <w:rsid w:val="00872E44"/>
    <w:rsid w:val="00874312"/>
    <w:rsid w:val="0087437C"/>
    <w:rsid w:val="00874DC8"/>
    <w:rsid w:val="00875CD7"/>
    <w:rsid w:val="00876B4D"/>
    <w:rsid w:val="00877F18"/>
    <w:rsid w:val="00882A51"/>
    <w:rsid w:val="00887824"/>
    <w:rsid w:val="00890042"/>
    <w:rsid w:val="008925E0"/>
    <w:rsid w:val="00892B70"/>
    <w:rsid w:val="00894A88"/>
    <w:rsid w:val="00895386"/>
    <w:rsid w:val="00897258"/>
    <w:rsid w:val="008A21FF"/>
    <w:rsid w:val="008A2389"/>
    <w:rsid w:val="008A2CE2"/>
    <w:rsid w:val="008A30AC"/>
    <w:rsid w:val="008A44B8"/>
    <w:rsid w:val="008A51A8"/>
    <w:rsid w:val="008A54C7"/>
    <w:rsid w:val="008A77D8"/>
    <w:rsid w:val="008B0483"/>
    <w:rsid w:val="008B120C"/>
    <w:rsid w:val="008B387E"/>
    <w:rsid w:val="008B51A0"/>
    <w:rsid w:val="008B592A"/>
    <w:rsid w:val="008B767B"/>
    <w:rsid w:val="008B7B5C"/>
    <w:rsid w:val="008C0C99"/>
    <w:rsid w:val="008C2017"/>
    <w:rsid w:val="008C4958"/>
    <w:rsid w:val="008C4BAA"/>
    <w:rsid w:val="008C6AE8"/>
    <w:rsid w:val="008C7573"/>
    <w:rsid w:val="008D34F1"/>
    <w:rsid w:val="008D39D8"/>
    <w:rsid w:val="008D596C"/>
    <w:rsid w:val="008D6D1A"/>
    <w:rsid w:val="008E065E"/>
    <w:rsid w:val="008E0927"/>
    <w:rsid w:val="008E1909"/>
    <w:rsid w:val="008E69A8"/>
    <w:rsid w:val="008E7710"/>
    <w:rsid w:val="008E7751"/>
    <w:rsid w:val="008E7E93"/>
    <w:rsid w:val="008F11C6"/>
    <w:rsid w:val="008F1EAB"/>
    <w:rsid w:val="008F33DC"/>
    <w:rsid w:val="008F477F"/>
    <w:rsid w:val="008F588B"/>
    <w:rsid w:val="008F6C1E"/>
    <w:rsid w:val="00902350"/>
    <w:rsid w:val="0090336B"/>
    <w:rsid w:val="009053AA"/>
    <w:rsid w:val="00906939"/>
    <w:rsid w:val="00910B7D"/>
    <w:rsid w:val="00911DFB"/>
    <w:rsid w:val="009131D8"/>
    <w:rsid w:val="009136CB"/>
    <w:rsid w:val="009139D9"/>
    <w:rsid w:val="0091455B"/>
    <w:rsid w:val="00914AD8"/>
    <w:rsid w:val="00914DB8"/>
    <w:rsid w:val="00916079"/>
    <w:rsid w:val="00917092"/>
    <w:rsid w:val="00917CE9"/>
    <w:rsid w:val="00920BF2"/>
    <w:rsid w:val="009214B4"/>
    <w:rsid w:val="00921821"/>
    <w:rsid w:val="00922010"/>
    <w:rsid w:val="00926D2A"/>
    <w:rsid w:val="00930085"/>
    <w:rsid w:val="0093080B"/>
    <w:rsid w:val="00930C80"/>
    <w:rsid w:val="0093147D"/>
    <w:rsid w:val="00931BD9"/>
    <w:rsid w:val="00934FC4"/>
    <w:rsid w:val="009368F3"/>
    <w:rsid w:val="00940F43"/>
    <w:rsid w:val="00941570"/>
    <w:rsid w:val="00941636"/>
    <w:rsid w:val="00943742"/>
    <w:rsid w:val="009444C9"/>
    <w:rsid w:val="00945C05"/>
    <w:rsid w:val="00945FC1"/>
    <w:rsid w:val="00946945"/>
    <w:rsid w:val="00947713"/>
    <w:rsid w:val="009477FE"/>
    <w:rsid w:val="00950DE7"/>
    <w:rsid w:val="00951A88"/>
    <w:rsid w:val="00953920"/>
    <w:rsid w:val="00953D47"/>
    <w:rsid w:val="00954404"/>
    <w:rsid w:val="0095681E"/>
    <w:rsid w:val="009572D4"/>
    <w:rsid w:val="00961921"/>
    <w:rsid w:val="0096430A"/>
    <w:rsid w:val="0096554A"/>
    <w:rsid w:val="0096554B"/>
    <w:rsid w:val="0096584A"/>
    <w:rsid w:val="009705A9"/>
    <w:rsid w:val="00970E09"/>
    <w:rsid w:val="00971F08"/>
    <w:rsid w:val="009730B0"/>
    <w:rsid w:val="0097603D"/>
    <w:rsid w:val="00976949"/>
    <w:rsid w:val="00977107"/>
    <w:rsid w:val="00980477"/>
    <w:rsid w:val="00980E95"/>
    <w:rsid w:val="0098382E"/>
    <w:rsid w:val="00985253"/>
    <w:rsid w:val="009853B3"/>
    <w:rsid w:val="009862A1"/>
    <w:rsid w:val="00990490"/>
    <w:rsid w:val="00990630"/>
    <w:rsid w:val="00991761"/>
    <w:rsid w:val="00994DCA"/>
    <w:rsid w:val="009960EC"/>
    <w:rsid w:val="009970DD"/>
    <w:rsid w:val="009A0FBA"/>
    <w:rsid w:val="009A1601"/>
    <w:rsid w:val="009A462D"/>
    <w:rsid w:val="009A5CBA"/>
    <w:rsid w:val="009B0DEC"/>
    <w:rsid w:val="009B1F30"/>
    <w:rsid w:val="009B3AC2"/>
    <w:rsid w:val="009B4DF4"/>
    <w:rsid w:val="009B5079"/>
    <w:rsid w:val="009B564E"/>
    <w:rsid w:val="009B7E87"/>
    <w:rsid w:val="009C403E"/>
    <w:rsid w:val="009C6957"/>
    <w:rsid w:val="009D3213"/>
    <w:rsid w:val="009D4FF0"/>
    <w:rsid w:val="009D703C"/>
    <w:rsid w:val="009D718F"/>
    <w:rsid w:val="009E068F"/>
    <w:rsid w:val="009E14E0"/>
    <w:rsid w:val="009E2E67"/>
    <w:rsid w:val="009E35DB"/>
    <w:rsid w:val="009E47A3"/>
    <w:rsid w:val="009E5DE0"/>
    <w:rsid w:val="009F08F3"/>
    <w:rsid w:val="009F3070"/>
    <w:rsid w:val="009F344F"/>
    <w:rsid w:val="009F4B02"/>
    <w:rsid w:val="009F561F"/>
    <w:rsid w:val="00A024AC"/>
    <w:rsid w:val="00A0390A"/>
    <w:rsid w:val="00A048A8"/>
    <w:rsid w:val="00A04F49"/>
    <w:rsid w:val="00A1238E"/>
    <w:rsid w:val="00A13E54"/>
    <w:rsid w:val="00A17F63"/>
    <w:rsid w:val="00A2052C"/>
    <w:rsid w:val="00A2193B"/>
    <w:rsid w:val="00A2236A"/>
    <w:rsid w:val="00A22E4E"/>
    <w:rsid w:val="00A2351A"/>
    <w:rsid w:val="00A264A9"/>
    <w:rsid w:val="00A27785"/>
    <w:rsid w:val="00A27CDC"/>
    <w:rsid w:val="00A30187"/>
    <w:rsid w:val="00A33FBB"/>
    <w:rsid w:val="00A3448A"/>
    <w:rsid w:val="00A36297"/>
    <w:rsid w:val="00A36BCC"/>
    <w:rsid w:val="00A4055E"/>
    <w:rsid w:val="00A41E2B"/>
    <w:rsid w:val="00A442DF"/>
    <w:rsid w:val="00A45B74"/>
    <w:rsid w:val="00A45FE3"/>
    <w:rsid w:val="00A52E1D"/>
    <w:rsid w:val="00A61499"/>
    <w:rsid w:val="00A62A77"/>
    <w:rsid w:val="00A63483"/>
    <w:rsid w:val="00A655BB"/>
    <w:rsid w:val="00A65680"/>
    <w:rsid w:val="00A657D7"/>
    <w:rsid w:val="00A660AC"/>
    <w:rsid w:val="00A66F55"/>
    <w:rsid w:val="00A67E6C"/>
    <w:rsid w:val="00A71B99"/>
    <w:rsid w:val="00A71C06"/>
    <w:rsid w:val="00A72571"/>
    <w:rsid w:val="00A72CBC"/>
    <w:rsid w:val="00A739D0"/>
    <w:rsid w:val="00A74F91"/>
    <w:rsid w:val="00A761D4"/>
    <w:rsid w:val="00A77EC4"/>
    <w:rsid w:val="00A81B96"/>
    <w:rsid w:val="00A8593C"/>
    <w:rsid w:val="00A92879"/>
    <w:rsid w:val="00A9442A"/>
    <w:rsid w:val="00A968B8"/>
    <w:rsid w:val="00AA016F"/>
    <w:rsid w:val="00AA1ED6"/>
    <w:rsid w:val="00AA51D6"/>
    <w:rsid w:val="00AA71AD"/>
    <w:rsid w:val="00AB0BC8"/>
    <w:rsid w:val="00AB0C36"/>
    <w:rsid w:val="00AB11CA"/>
    <w:rsid w:val="00AB14D9"/>
    <w:rsid w:val="00AB4AB8"/>
    <w:rsid w:val="00AB655E"/>
    <w:rsid w:val="00AB7C2B"/>
    <w:rsid w:val="00AB7DDE"/>
    <w:rsid w:val="00AC007F"/>
    <w:rsid w:val="00AC0FA9"/>
    <w:rsid w:val="00AC2ECD"/>
    <w:rsid w:val="00AC3119"/>
    <w:rsid w:val="00AC49FB"/>
    <w:rsid w:val="00AC5A10"/>
    <w:rsid w:val="00AC63DA"/>
    <w:rsid w:val="00AC7331"/>
    <w:rsid w:val="00AD0AA3"/>
    <w:rsid w:val="00AD3D1B"/>
    <w:rsid w:val="00AD3F94"/>
    <w:rsid w:val="00AD4A5A"/>
    <w:rsid w:val="00AE0A35"/>
    <w:rsid w:val="00AE143B"/>
    <w:rsid w:val="00AE1E7A"/>
    <w:rsid w:val="00AE27AC"/>
    <w:rsid w:val="00AE31D6"/>
    <w:rsid w:val="00AE3743"/>
    <w:rsid w:val="00AE40E0"/>
    <w:rsid w:val="00AE4DBA"/>
    <w:rsid w:val="00AE4F07"/>
    <w:rsid w:val="00AE5DA5"/>
    <w:rsid w:val="00AF1C5D"/>
    <w:rsid w:val="00AF42D7"/>
    <w:rsid w:val="00AF7A35"/>
    <w:rsid w:val="00B006FE"/>
    <w:rsid w:val="00B007CB"/>
    <w:rsid w:val="00B02AA9"/>
    <w:rsid w:val="00B02FA3"/>
    <w:rsid w:val="00B05084"/>
    <w:rsid w:val="00B06FEF"/>
    <w:rsid w:val="00B1180C"/>
    <w:rsid w:val="00B157F9"/>
    <w:rsid w:val="00B20256"/>
    <w:rsid w:val="00B20D09"/>
    <w:rsid w:val="00B2763F"/>
    <w:rsid w:val="00B27AAC"/>
    <w:rsid w:val="00B27BBA"/>
    <w:rsid w:val="00B30929"/>
    <w:rsid w:val="00B30EBC"/>
    <w:rsid w:val="00B372AA"/>
    <w:rsid w:val="00B40445"/>
    <w:rsid w:val="00B41888"/>
    <w:rsid w:val="00B43136"/>
    <w:rsid w:val="00B43978"/>
    <w:rsid w:val="00B456A8"/>
    <w:rsid w:val="00B45A52"/>
    <w:rsid w:val="00B46175"/>
    <w:rsid w:val="00B50A7A"/>
    <w:rsid w:val="00B6188F"/>
    <w:rsid w:val="00B65976"/>
    <w:rsid w:val="00B664C7"/>
    <w:rsid w:val="00B739F6"/>
    <w:rsid w:val="00B77A21"/>
    <w:rsid w:val="00B81A6C"/>
    <w:rsid w:val="00B85DE5"/>
    <w:rsid w:val="00B90F73"/>
    <w:rsid w:val="00B93B59"/>
    <w:rsid w:val="00B9406A"/>
    <w:rsid w:val="00B957A0"/>
    <w:rsid w:val="00BA2280"/>
    <w:rsid w:val="00BA2A08"/>
    <w:rsid w:val="00BA4644"/>
    <w:rsid w:val="00BA56D2"/>
    <w:rsid w:val="00BA76E0"/>
    <w:rsid w:val="00BB18B0"/>
    <w:rsid w:val="00BB2A25"/>
    <w:rsid w:val="00BB4370"/>
    <w:rsid w:val="00BB51E9"/>
    <w:rsid w:val="00BC0FDC"/>
    <w:rsid w:val="00BC3053"/>
    <w:rsid w:val="00BC4D2E"/>
    <w:rsid w:val="00BD48AC"/>
    <w:rsid w:val="00BD5F1A"/>
    <w:rsid w:val="00BE1234"/>
    <w:rsid w:val="00BE2FA6"/>
    <w:rsid w:val="00BE333F"/>
    <w:rsid w:val="00BE7406"/>
    <w:rsid w:val="00BE7603"/>
    <w:rsid w:val="00BF01AF"/>
    <w:rsid w:val="00BF147F"/>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0982"/>
    <w:rsid w:val="00C20E2A"/>
    <w:rsid w:val="00C24345"/>
    <w:rsid w:val="00C253D9"/>
    <w:rsid w:val="00C25B3A"/>
    <w:rsid w:val="00C27530"/>
    <w:rsid w:val="00C279B5"/>
    <w:rsid w:val="00C27C45"/>
    <w:rsid w:val="00C3719D"/>
    <w:rsid w:val="00C54995"/>
    <w:rsid w:val="00C54D41"/>
    <w:rsid w:val="00C602BE"/>
    <w:rsid w:val="00C60783"/>
    <w:rsid w:val="00C64672"/>
    <w:rsid w:val="00C70697"/>
    <w:rsid w:val="00C72EF4"/>
    <w:rsid w:val="00C75D2F"/>
    <w:rsid w:val="00C767BE"/>
    <w:rsid w:val="00C76E3C"/>
    <w:rsid w:val="00C81568"/>
    <w:rsid w:val="00C9027A"/>
    <w:rsid w:val="00C9068E"/>
    <w:rsid w:val="00C90C65"/>
    <w:rsid w:val="00C92A30"/>
    <w:rsid w:val="00C93C4B"/>
    <w:rsid w:val="00C944AB"/>
    <w:rsid w:val="00C94BAE"/>
    <w:rsid w:val="00C95B40"/>
    <w:rsid w:val="00C97E18"/>
    <w:rsid w:val="00CA0473"/>
    <w:rsid w:val="00CA1ED8"/>
    <w:rsid w:val="00CA248C"/>
    <w:rsid w:val="00CB1F63"/>
    <w:rsid w:val="00CB4A88"/>
    <w:rsid w:val="00CB57DE"/>
    <w:rsid w:val="00CB7170"/>
    <w:rsid w:val="00CC040E"/>
    <w:rsid w:val="00CC111F"/>
    <w:rsid w:val="00CC2011"/>
    <w:rsid w:val="00CC328F"/>
    <w:rsid w:val="00CC3EA0"/>
    <w:rsid w:val="00CC4BFA"/>
    <w:rsid w:val="00CC7B45"/>
    <w:rsid w:val="00CC7EF3"/>
    <w:rsid w:val="00CD1188"/>
    <w:rsid w:val="00CD2ED1"/>
    <w:rsid w:val="00CD337B"/>
    <w:rsid w:val="00CD5E2D"/>
    <w:rsid w:val="00CD752C"/>
    <w:rsid w:val="00CE0424"/>
    <w:rsid w:val="00CE0995"/>
    <w:rsid w:val="00CE2A4C"/>
    <w:rsid w:val="00CE4F87"/>
    <w:rsid w:val="00CE6862"/>
    <w:rsid w:val="00CE7561"/>
    <w:rsid w:val="00CF1354"/>
    <w:rsid w:val="00CF3B1F"/>
    <w:rsid w:val="00CF3BF6"/>
    <w:rsid w:val="00CF625B"/>
    <w:rsid w:val="00CF687E"/>
    <w:rsid w:val="00D0349B"/>
    <w:rsid w:val="00D07C81"/>
    <w:rsid w:val="00D10249"/>
    <w:rsid w:val="00D115C3"/>
    <w:rsid w:val="00D11897"/>
    <w:rsid w:val="00D13135"/>
    <w:rsid w:val="00D13E4E"/>
    <w:rsid w:val="00D1511B"/>
    <w:rsid w:val="00D232D1"/>
    <w:rsid w:val="00D233B0"/>
    <w:rsid w:val="00D239A7"/>
    <w:rsid w:val="00D23F47"/>
    <w:rsid w:val="00D27916"/>
    <w:rsid w:val="00D36E71"/>
    <w:rsid w:val="00D37D87"/>
    <w:rsid w:val="00D403D7"/>
    <w:rsid w:val="00D40B33"/>
    <w:rsid w:val="00D40E55"/>
    <w:rsid w:val="00D4318F"/>
    <w:rsid w:val="00D438BF"/>
    <w:rsid w:val="00D440F8"/>
    <w:rsid w:val="00D507F7"/>
    <w:rsid w:val="00D50F97"/>
    <w:rsid w:val="00D5275A"/>
    <w:rsid w:val="00D546FF"/>
    <w:rsid w:val="00D54B21"/>
    <w:rsid w:val="00D55AD5"/>
    <w:rsid w:val="00D56005"/>
    <w:rsid w:val="00D570C5"/>
    <w:rsid w:val="00D575C7"/>
    <w:rsid w:val="00D576CA"/>
    <w:rsid w:val="00D61AF5"/>
    <w:rsid w:val="00D652B5"/>
    <w:rsid w:val="00D66155"/>
    <w:rsid w:val="00D708B0"/>
    <w:rsid w:val="00D727C3"/>
    <w:rsid w:val="00D77B1D"/>
    <w:rsid w:val="00D8021F"/>
    <w:rsid w:val="00D80383"/>
    <w:rsid w:val="00D823C6"/>
    <w:rsid w:val="00D86885"/>
    <w:rsid w:val="00D86CA3"/>
    <w:rsid w:val="00D871CE"/>
    <w:rsid w:val="00D90698"/>
    <w:rsid w:val="00D9196D"/>
    <w:rsid w:val="00D92982"/>
    <w:rsid w:val="00D96527"/>
    <w:rsid w:val="00DA305E"/>
    <w:rsid w:val="00DA5417"/>
    <w:rsid w:val="00DA56E8"/>
    <w:rsid w:val="00DA6961"/>
    <w:rsid w:val="00DB0A9F"/>
    <w:rsid w:val="00DB26E0"/>
    <w:rsid w:val="00DB377D"/>
    <w:rsid w:val="00DC2753"/>
    <w:rsid w:val="00DC2D36"/>
    <w:rsid w:val="00DC53EF"/>
    <w:rsid w:val="00DC5583"/>
    <w:rsid w:val="00DD2DA7"/>
    <w:rsid w:val="00DD6E18"/>
    <w:rsid w:val="00DE5608"/>
    <w:rsid w:val="00DE58D0"/>
    <w:rsid w:val="00DE654F"/>
    <w:rsid w:val="00DE6FEF"/>
    <w:rsid w:val="00DF0B6E"/>
    <w:rsid w:val="00DF15E0"/>
    <w:rsid w:val="00DF37A0"/>
    <w:rsid w:val="00DF67FD"/>
    <w:rsid w:val="00E110E7"/>
    <w:rsid w:val="00E11B20"/>
    <w:rsid w:val="00E13950"/>
    <w:rsid w:val="00E1523B"/>
    <w:rsid w:val="00E17FA2"/>
    <w:rsid w:val="00E22178"/>
    <w:rsid w:val="00E22330"/>
    <w:rsid w:val="00E2650A"/>
    <w:rsid w:val="00E30B5A"/>
    <w:rsid w:val="00E3123D"/>
    <w:rsid w:val="00E31461"/>
    <w:rsid w:val="00E31D43"/>
    <w:rsid w:val="00E32608"/>
    <w:rsid w:val="00E34188"/>
    <w:rsid w:val="00E34B6E"/>
    <w:rsid w:val="00E35559"/>
    <w:rsid w:val="00E366F0"/>
    <w:rsid w:val="00E3723A"/>
    <w:rsid w:val="00E37860"/>
    <w:rsid w:val="00E40888"/>
    <w:rsid w:val="00E42451"/>
    <w:rsid w:val="00E446F1"/>
    <w:rsid w:val="00E4543C"/>
    <w:rsid w:val="00E46886"/>
    <w:rsid w:val="00E47AEF"/>
    <w:rsid w:val="00E53B75"/>
    <w:rsid w:val="00E54E3B"/>
    <w:rsid w:val="00E57565"/>
    <w:rsid w:val="00E63838"/>
    <w:rsid w:val="00E64434"/>
    <w:rsid w:val="00E677EA"/>
    <w:rsid w:val="00E67C51"/>
    <w:rsid w:val="00E67EE6"/>
    <w:rsid w:val="00E72EFC"/>
    <w:rsid w:val="00E758EC"/>
    <w:rsid w:val="00E77463"/>
    <w:rsid w:val="00E8234C"/>
    <w:rsid w:val="00E8249D"/>
    <w:rsid w:val="00E83AA9"/>
    <w:rsid w:val="00E85928"/>
    <w:rsid w:val="00E87822"/>
    <w:rsid w:val="00E90395"/>
    <w:rsid w:val="00E90E49"/>
    <w:rsid w:val="00E917F9"/>
    <w:rsid w:val="00E9291C"/>
    <w:rsid w:val="00E93D5A"/>
    <w:rsid w:val="00E93FFE"/>
    <w:rsid w:val="00E94F8A"/>
    <w:rsid w:val="00E97D01"/>
    <w:rsid w:val="00EA0A79"/>
    <w:rsid w:val="00EA385C"/>
    <w:rsid w:val="00EA7A41"/>
    <w:rsid w:val="00EB077B"/>
    <w:rsid w:val="00EB4EA2"/>
    <w:rsid w:val="00EC279C"/>
    <w:rsid w:val="00EC27C6"/>
    <w:rsid w:val="00EC4207"/>
    <w:rsid w:val="00EC5653"/>
    <w:rsid w:val="00EC71CE"/>
    <w:rsid w:val="00ED1006"/>
    <w:rsid w:val="00EF18FE"/>
    <w:rsid w:val="00EF5787"/>
    <w:rsid w:val="00EF60D0"/>
    <w:rsid w:val="00F044C9"/>
    <w:rsid w:val="00F0528D"/>
    <w:rsid w:val="00F062AB"/>
    <w:rsid w:val="00F06C67"/>
    <w:rsid w:val="00F06DFD"/>
    <w:rsid w:val="00F06E80"/>
    <w:rsid w:val="00F071D1"/>
    <w:rsid w:val="00F07533"/>
    <w:rsid w:val="00F07CF6"/>
    <w:rsid w:val="00F10629"/>
    <w:rsid w:val="00F12E38"/>
    <w:rsid w:val="00F138FC"/>
    <w:rsid w:val="00F15239"/>
    <w:rsid w:val="00F159DF"/>
    <w:rsid w:val="00F15FA5"/>
    <w:rsid w:val="00F209B7"/>
    <w:rsid w:val="00F217B1"/>
    <w:rsid w:val="00F2376F"/>
    <w:rsid w:val="00F243D8"/>
    <w:rsid w:val="00F30828"/>
    <w:rsid w:val="00F313D6"/>
    <w:rsid w:val="00F319A3"/>
    <w:rsid w:val="00F319F1"/>
    <w:rsid w:val="00F33333"/>
    <w:rsid w:val="00F3754C"/>
    <w:rsid w:val="00F40BDB"/>
    <w:rsid w:val="00F40F0C"/>
    <w:rsid w:val="00F417E8"/>
    <w:rsid w:val="00F41E21"/>
    <w:rsid w:val="00F46A19"/>
    <w:rsid w:val="00F4766C"/>
    <w:rsid w:val="00F507D1"/>
    <w:rsid w:val="00F519CE"/>
    <w:rsid w:val="00F51ADA"/>
    <w:rsid w:val="00F54621"/>
    <w:rsid w:val="00F607C5"/>
    <w:rsid w:val="00F60DEA"/>
    <w:rsid w:val="00F629B0"/>
    <w:rsid w:val="00F6302A"/>
    <w:rsid w:val="00F6303F"/>
    <w:rsid w:val="00F6337D"/>
    <w:rsid w:val="00F64C2B"/>
    <w:rsid w:val="00F651BE"/>
    <w:rsid w:val="00F66268"/>
    <w:rsid w:val="00F67EEE"/>
    <w:rsid w:val="00F67F53"/>
    <w:rsid w:val="00F703BE"/>
    <w:rsid w:val="00F71A32"/>
    <w:rsid w:val="00F71F69"/>
    <w:rsid w:val="00F72B72"/>
    <w:rsid w:val="00F74931"/>
    <w:rsid w:val="00F74BB9"/>
    <w:rsid w:val="00F75582"/>
    <w:rsid w:val="00F76B67"/>
    <w:rsid w:val="00F76EFA"/>
    <w:rsid w:val="00F77C05"/>
    <w:rsid w:val="00F804BE"/>
    <w:rsid w:val="00F817CE"/>
    <w:rsid w:val="00F8456C"/>
    <w:rsid w:val="00F859D8"/>
    <w:rsid w:val="00F868F5"/>
    <w:rsid w:val="00F9056A"/>
    <w:rsid w:val="00F90C1C"/>
    <w:rsid w:val="00F90F8D"/>
    <w:rsid w:val="00F92782"/>
    <w:rsid w:val="00F93AA9"/>
    <w:rsid w:val="00F95A23"/>
    <w:rsid w:val="00F96985"/>
    <w:rsid w:val="00F97838"/>
    <w:rsid w:val="00FA2BB3"/>
    <w:rsid w:val="00FB4C80"/>
    <w:rsid w:val="00FB6A6A"/>
    <w:rsid w:val="00FC6AFB"/>
    <w:rsid w:val="00FC7429"/>
    <w:rsid w:val="00FD017B"/>
    <w:rsid w:val="00FD07F6"/>
    <w:rsid w:val="00FD1EC8"/>
    <w:rsid w:val="00FD24A9"/>
    <w:rsid w:val="00FD283D"/>
    <w:rsid w:val="00FD47ED"/>
    <w:rsid w:val="00FD74DB"/>
    <w:rsid w:val="00FD7660"/>
    <w:rsid w:val="00FE0655"/>
    <w:rsid w:val="00FE2365"/>
    <w:rsid w:val="00FE4C7B"/>
    <w:rsid w:val="00FE50D1"/>
    <w:rsid w:val="00FE7336"/>
    <w:rsid w:val="00FE787C"/>
    <w:rsid w:val="00FF2925"/>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7B73EB1"/>
  <w15:chartTrackingRefBased/>
  <w15:docId w15:val="{72D52748-EAA4-4061-BBFC-7183FE017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caption" w:qFormat="1"/>
    <w:lsdException w:name="table of figures" w:uiPriority="99"/>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B182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B182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B182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B1828"/>
    <w:pPr>
      <w:numPr>
        <w:ilvl w:val="2"/>
      </w:numPr>
      <w:spacing w:before="120"/>
      <w:outlineLvl w:val="2"/>
    </w:pPr>
    <w:rPr>
      <w:sz w:val="28"/>
      <w:szCs w:val="28"/>
    </w:rPr>
  </w:style>
  <w:style w:type="paragraph" w:styleId="Heading4">
    <w:name w:val="heading 4"/>
    <w:basedOn w:val="Heading3"/>
    <w:next w:val="Normal"/>
    <w:qFormat/>
    <w:rsid w:val="003B1828"/>
    <w:pPr>
      <w:numPr>
        <w:ilvl w:val="3"/>
      </w:numPr>
      <w:outlineLvl w:val="3"/>
    </w:pPr>
    <w:rPr>
      <w:sz w:val="24"/>
      <w:szCs w:val="24"/>
    </w:rPr>
  </w:style>
  <w:style w:type="paragraph" w:styleId="Heading5">
    <w:name w:val="heading 5"/>
    <w:basedOn w:val="Heading4"/>
    <w:next w:val="Normal"/>
    <w:qFormat/>
    <w:rsid w:val="003B1828"/>
    <w:pPr>
      <w:numPr>
        <w:ilvl w:val="4"/>
      </w:numPr>
      <w:outlineLvl w:val="4"/>
    </w:pPr>
    <w:rPr>
      <w:sz w:val="22"/>
      <w:szCs w:val="22"/>
    </w:rPr>
  </w:style>
  <w:style w:type="paragraph" w:styleId="Heading6">
    <w:name w:val="heading 6"/>
    <w:basedOn w:val="Normal"/>
    <w:next w:val="Normal"/>
    <w:qFormat/>
    <w:rsid w:val="003B1828"/>
    <w:pPr>
      <w:keepNext/>
      <w:keepLines/>
      <w:numPr>
        <w:ilvl w:val="5"/>
        <w:numId w:val="1"/>
      </w:numPr>
      <w:spacing w:before="120"/>
      <w:outlineLvl w:val="5"/>
    </w:pPr>
    <w:rPr>
      <w:rFonts w:cs="Arial"/>
    </w:rPr>
  </w:style>
  <w:style w:type="paragraph" w:styleId="Heading7">
    <w:name w:val="heading 7"/>
    <w:basedOn w:val="Normal"/>
    <w:next w:val="Normal"/>
    <w:qFormat/>
    <w:rsid w:val="003B1828"/>
    <w:pPr>
      <w:keepNext/>
      <w:keepLines/>
      <w:numPr>
        <w:ilvl w:val="6"/>
        <w:numId w:val="1"/>
      </w:numPr>
      <w:spacing w:before="120"/>
      <w:outlineLvl w:val="6"/>
    </w:pPr>
    <w:rPr>
      <w:rFonts w:cs="Arial"/>
    </w:rPr>
  </w:style>
  <w:style w:type="paragraph" w:styleId="Heading8">
    <w:name w:val="heading 8"/>
    <w:basedOn w:val="Heading7"/>
    <w:next w:val="Normal"/>
    <w:qFormat/>
    <w:rsid w:val="003B1828"/>
    <w:pPr>
      <w:numPr>
        <w:ilvl w:val="7"/>
      </w:numPr>
      <w:outlineLvl w:val="7"/>
    </w:pPr>
  </w:style>
  <w:style w:type="paragraph" w:styleId="Heading9">
    <w:name w:val="heading 9"/>
    <w:basedOn w:val="Heading8"/>
    <w:next w:val="Normal"/>
    <w:qFormat/>
    <w:rsid w:val="003B182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1828"/>
    <w:pPr>
      <w:spacing w:before="180"/>
      <w:ind w:left="2693" w:hanging="2693"/>
    </w:pPr>
    <w:rPr>
      <w:b w:val="0"/>
      <w:bCs/>
    </w:rPr>
  </w:style>
  <w:style w:type="paragraph" w:styleId="TOC1">
    <w:name w:val="toc 1"/>
    <w:aliases w:val="Observation TOC2"/>
    <w:uiPriority w:val="39"/>
    <w:rsid w:val="003B182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1828"/>
    <w:pPr>
      <w:keepNext/>
      <w:keepLines/>
      <w:spacing w:before="180"/>
      <w:jc w:val="center"/>
    </w:pPr>
  </w:style>
  <w:style w:type="paragraph" w:styleId="Caption">
    <w:name w:val="caption"/>
    <w:basedOn w:val="Normal"/>
    <w:next w:val="Normal"/>
    <w:qFormat/>
    <w:rsid w:val="003B1828"/>
    <w:pPr>
      <w:spacing w:after="240"/>
      <w:jc w:val="center"/>
    </w:pPr>
    <w:rPr>
      <w:b/>
      <w:bCs/>
    </w:rPr>
  </w:style>
  <w:style w:type="paragraph" w:styleId="TOC5">
    <w:name w:val="toc 5"/>
    <w:aliases w:val="Observation TOC"/>
    <w:basedOn w:val="TOC4"/>
    <w:semiHidden/>
    <w:rsid w:val="003B1828"/>
    <w:pPr>
      <w:tabs>
        <w:tab w:val="right" w:pos="1701"/>
      </w:tabs>
      <w:ind w:left="1701" w:hanging="1701"/>
    </w:pPr>
  </w:style>
  <w:style w:type="paragraph" w:styleId="TOC4">
    <w:name w:val="toc 4"/>
    <w:basedOn w:val="TOC3"/>
    <w:semiHidden/>
    <w:rsid w:val="003B1828"/>
    <w:pPr>
      <w:ind w:left="1418" w:hanging="1418"/>
    </w:pPr>
  </w:style>
  <w:style w:type="paragraph" w:styleId="TOC3">
    <w:name w:val="toc 3"/>
    <w:basedOn w:val="TOC2"/>
    <w:semiHidden/>
    <w:rsid w:val="003B1828"/>
    <w:pPr>
      <w:ind w:left="1134" w:hanging="1134"/>
    </w:pPr>
  </w:style>
  <w:style w:type="paragraph" w:styleId="TOC2">
    <w:name w:val="toc 2"/>
    <w:basedOn w:val="TOC1"/>
    <w:semiHidden/>
    <w:rsid w:val="003B1828"/>
    <w:pPr>
      <w:keepNext w:val="0"/>
      <w:spacing w:before="0"/>
      <w:ind w:left="851" w:hanging="851"/>
    </w:pPr>
    <w:rPr>
      <w:szCs w:val="20"/>
    </w:rPr>
  </w:style>
  <w:style w:type="paragraph" w:styleId="Index2">
    <w:name w:val="index 2"/>
    <w:basedOn w:val="Index1"/>
    <w:semiHidden/>
    <w:rsid w:val="003B1828"/>
    <w:pPr>
      <w:ind w:left="284"/>
    </w:pPr>
  </w:style>
  <w:style w:type="paragraph" w:styleId="Index1">
    <w:name w:val="index 1"/>
    <w:basedOn w:val="Normal"/>
    <w:semiHidden/>
    <w:rsid w:val="003B1828"/>
    <w:pPr>
      <w:keepLines/>
      <w:spacing w:after="0"/>
    </w:pPr>
  </w:style>
  <w:style w:type="paragraph" w:styleId="DocumentMap">
    <w:name w:val="Document Map"/>
    <w:basedOn w:val="Normal"/>
    <w:semiHidden/>
    <w:rsid w:val="003B1828"/>
    <w:pPr>
      <w:shd w:val="clear" w:color="auto" w:fill="000080"/>
    </w:pPr>
    <w:rPr>
      <w:rFonts w:ascii="Tahoma" w:hAnsi="Tahoma" w:cs="Tahoma"/>
    </w:rPr>
  </w:style>
  <w:style w:type="paragraph" w:styleId="ListNumber2">
    <w:name w:val="List Number 2"/>
    <w:basedOn w:val="ListNumber"/>
    <w:rsid w:val="003B1828"/>
    <w:pPr>
      <w:ind w:left="851"/>
    </w:pPr>
  </w:style>
  <w:style w:type="paragraph" w:styleId="ListNumber">
    <w:name w:val="List Number"/>
    <w:basedOn w:val="List"/>
    <w:rsid w:val="003B1828"/>
  </w:style>
  <w:style w:type="paragraph" w:styleId="List">
    <w:name w:val="List"/>
    <w:basedOn w:val="Normal"/>
    <w:rsid w:val="003B1828"/>
    <w:pPr>
      <w:ind w:left="568" w:hanging="284"/>
    </w:pPr>
  </w:style>
  <w:style w:type="paragraph" w:styleId="Header">
    <w:name w:val="header"/>
    <w:rsid w:val="003B182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1828"/>
    <w:rPr>
      <w:b/>
      <w:bCs/>
      <w:position w:val="6"/>
      <w:sz w:val="16"/>
      <w:szCs w:val="16"/>
    </w:rPr>
  </w:style>
  <w:style w:type="paragraph" w:styleId="FootnoteText">
    <w:name w:val="footnote text"/>
    <w:basedOn w:val="Normal"/>
    <w:semiHidden/>
    <w:rsid w:val="003B1828"/>
    <w:pPr>
      <w:keepLines/>
      <w:spacing w:after="0"/>
      <w:ind w:left="454" w:hanging="454"/>
    </w:pPr>
    <w:rPr>
      <w:sz w:val="16"/>
      <w:szCs w:val="16"/>
    </w:rPr>
  </w:style>
  <w:style w:type="paragraph" w:customStyle="1" w:styleId="3GPPHeader">
    <w:name w:val="3GPP_Header"/>
    <w:basedOn w:val="Normal"/>
    <w:rsid w:val="003B1828"/>
    <w:pPr>
      <w:tabs>
        <w:tab w:val="left" w:pos="1701"/>
        <w:tab w:val="right" w:pos="9639"/>
      </w:tabs>
      <w:spacing w:after="240"/>
    </w:pPr>
    <w:rPr>
      <w:b/>
      <w:sz w:val="24"/>
    </w:rPr>
  </w:style>
  <w:style w:type="paragraph" w:styleId="TOC9">
    <w:name w:val="toc 9"/>
    <w:basedOn w:val="TOC8"/>
    <w:semiHidden/>
    <w:rsid w:val="003B1828"/>
    <w:pPr>
      <w:ind w:left="1418" w:hanging="1418"/>
    </w:pPr>
  </w:style>
  <w:style w:type="paragraph" w:styleId="TOC6">
    <w:name w:val="toc 6"/>
    <w:basedOn w:val="TOC5"/>
    <w:next w:val="Normal"/>
    <w:semiHidden/>
    <w:rsid w:val="003B1828"/>
    <w:pPr>
      <w:ind w:left="1985" w:hanging="1985"/>
    </w:pPr>
  </w:style>
  <w:style w:type="paragraph" w:styleId="TOC7">
    <w:name w:val="toc 7"/>
    <w:basedOn w:val="TOC6"/>
    <w:next w:val="Normal"/>
    <w:semiHidden/>
    <w:rsid w:val="003B1828"/>
    <w:pPr>
      <w:ind w:left="2268" w:hanging="2268"/>
    </w:pPr>
  </w:style>
  <w:style w:type="paragraph" w:styleId="ListBullet2">
    <w:name w:val="List Bullet 2"/>
    <w:basedOn w:val="ListBullet"/>
    <w:rsid w:val="003B1828"/>
    <w:pPr>
      <w:numPr>
        <w:numId w:val="6"/>
      </w:numPr>
    </w:pPr>
  </w:style>
  <w:style w:type="paragraph" w:styleId="ListBullet">
    <w:name w:val="List Bullet"/>
    <w:basedOn w:val="BodyText"/>
    <w:rsid w:val="003B1828"/>
    <w:pPr>
      <w:numPr>
        <w:numId w:val="5"/>
      </w:numPr>
    </w:pPr>
  </w:style>
  <w:style w:type="paragraph" w:styleId="ListBullet3">
    <w:name w:val="List Bullet 3"/>
    <w:basedOn w:val="ListBullet2"/>
    <w:rsid w:val="003B1828"/>
    <w:pPr>
      <w:numPr>
        <w:numId w:val="7"/>
      </w:numPr>
    </w:pPr>
  </w:style>
  <w:style w:type="paragraph" w:customStyle="1" w:styleId="EQ">
    <w:name w:val="EQ"/>
    <w:basedOn w:val="Normal"/>
    <w:next w:val="Normal"/>
    <w:rsid w:val="003B1828"/>
    <w:pPr>
      <w:keepLines/>
      <w:tabs>
        <w:tab w:val="center" w:pos="4536"/>
        <w:tab w:val="right" w:pos="9072"/>
      </w:tabs>
      <w:spacing w:after="180"/>
      <w:jc w:val="left"/>
    </w:pPr>
    <w:rPr>
      <w:noProof/>
      <w:lang w:eastAsia="en-US"/>
    </w:rPr>
  </w:style>
  <w:style w:type="paragraph" w:styleId="List2">
    <w:name w:val="List 2"/>
    <w:basedOn w:val="List"/>
    <w:rsid w:val="003B1828"/>
    <w:pPr>
      <w:ind w:left="851"/>
    </w:pPr>
  </w:style>
  <w:style w:type="paragraph" w:styleId="List3">
    <w:name w:val="List 3"/>
    <w:basedOn w:val="List2"/>
    <w:rsid w:val="003B1828"/>
    <w:pPr>
      <w:ind w:left="1135"/>
    </w:pPr>
  </w:style>
  <w:style w:type="paragraph" w:styleId="List4">
    <w:name w:val="List 4"/>
    <w:basedOn w:val="List3"/>
    <w:rsid w:val="003B1828"/>
    <w:pPr>
      <w:ind w:left="1418"/>
    </w:pPr>
  </w:style>
  <w:style w:type="paragraph" w:styleId="List5">
    <w:name w:val="List 5"/>
    <w:basedOn w:val="List4"/>
    <w:rsid w:val="003B1828"/>
    <w:pPr>
      <w:ind w:left="1702"/>
    </w:pPr>
  </w:style>
  <w:style w:type="paragraph" w:customStyle="1" w:styleId="EditorsNote">
    <w:name w:val="Editor's Note"/>
    <w:basedOn w:val="Normal"/>
    <w:rsid w:val="003B1828"/>
    <w:pPr>
      <w:keepLines/>
      <w:spacing w:after="180"/>
      <w:ind w:left="1135" w:hanging="851"/>
      <w:jc w:val="left"/>
    </w:pPr>
    <w:rPr>
      <w:color w:val="FF0000"/>
      <w:lang w:eastAsia="en-US"/>
    </w:rPr>
  </w:style>
  <w:style w:type="paragraph" w:styleId="ListBullet4">
    <w:name w:val="List Bullet 4"/>
    <w:basedOn w:val="ListBullet3"/>
    <w:rsid w:val="003B1828"/>
    <w:pPr>
      <w:numPr>
        <w:numId w:val="8"/>
      </w:numPr>
    </w:pPr>
  </w:style>
  <w:style w:type="paragraph" w:styleId="ListBullet5">
    <w:name w:val="List Bullet 5"/>
    <w:basedOn w:val="ListBullet4"/>
    <w:rsid w:val="003B1828"/>
    <w:pPr>
      <w:numPr>
        <w:numId w:val="4"/>
      </w:numPr>
    </w:pPr>
  </w:style>
  <w:style w:type="paragraph" w:styleId="Footer">
    <w:name w:val="footer"/>
    <w:basedOn w:val="Header"/>
    <w:semiHidden/>
    <w:rsid w:val="003B1828"/>
    <w:pPr>
      <w:jc w:val="center"/>
    </w:pPr>
    <w:rPr>
      <w:i/>
      <w:iCs/>
    </w:rPr>
  </w:style>
  <w:style w:type="paragraph" w:customStyle="1" w:styleId="Reference">
    <w:name w:val="Reference"/>
    <w:basedOn w:val="Normal"/>
    <w:rsid w:val="003B1828"/>
    <w:pPr>
      <w:numPr>
        <w:numId w:val="2"/>
      </w:numPr>
    </w:pPr>
  </w:style>
  <w:style w:type="paragraph" w:styleId="BalloonText">
    <w:name w:val="Balloon Text"/>
    <w:basedOn w:val="Normal"/>
    <w:semiHidden/>
    <w:rsid w:val="003B1828"/>
    <w:rPr>
      <w:rFonts w:ascii="Tahoma" w:hAnsi="Tahoma" w:cs="Tahoma"/>
      <w:sz w:val="16"/>
      <w:szCs w:val="16"/>
    </w:rPr>
  </w:style>
  <w:style w:type="character" w:styleId="PageNumber">
    <w:name w:val="page number"/>
    <w:basedOn w:val="DefaultParagraphFont"/>
    <w:semiHidden/>
    <w:rsid w:val="003B1828"/>
  </w:style>
  <w:style w:type="paragraph" w:styleId="BodyText">
    <w:name w:val="Body Text"/>
    <w:basedOn w:val="Normal"/>
    <w:link w:val="BodyTextChar"/>
    <w:rsid w:val="003B1828"/>
  </w:style>
  <w:style w:type="character" w:styleId="Hyperlink">
    <w:name w:val="Hyperlink"/>
    <w:uiPriority w:val="99"/>
    <w:rsid w:val="003B1828"/>
    <w:rPr>
      <w:color w:val="0000FF"/>
      <w:u w:val="single"/>
      <w:lang w:val="en-GB"/>
    </w:rPr>
  </w:style>
  <w:style w:type="character" w:styleId="FollowedHyperlink">
    <w:name w:val="FollowedHyperlink"/>
    <w:semiHidden/>
    <w:rsid w:val="003B1828"/>
    <w:rPr>
      <w:color w:val="FF0000"/>
      <w:u w:val="single"/>
    </w:rPr>
  </w:style>
  <w:style w:type="character" w:styleId="CommentReference">
    <w:name w:val="annotation reference"/>
    <w:uiPriority w:val="99"/>
    <w:rsid w:val="003B1828"/>
    <w:rPr>
      <w:sz w:val="16"/>
      <w:szCs w:val="16"/>
    </w:rPr>
  </w:style>
  <w:style w:type="paragraph" w:styleId="CommentText">
    <w:name w:val="annotation text"/>
    <w:basedOn w:val="Normal"/>
    <w:link w:val="CommentTextChar"/>
    <w:uiPriority w:val="99"/>
    <w:rsid w:val="003B1828"/>
  </w:style>
  <w:style w:type="paragraph" w:styleId="CommentSubject">
    <w:name w:val="annotation subject"/>
    <w:basedOn w:val="CommentText"/>
    <w:next w:val="CommentText"/>
    <w:semiHidden/>
    <w:rsid w:val="003B1828"/>
    <w:rPr>
      <w:b/>
      <w:bCs/>
    </w:rPr>
  </w:style>
  <w:style w:type="character" w:customStyle="1" w:styleId="Heading1Char">
    <w:name w:val="Heading 1 Char"/>
    <w:link w:val="Heading1"/>
    <w:rsid w:val="003B1828"/>
    <w:rPr>
      <w:rFonts w:ascii="Arial" w:hAnsi="Arial" w:cs="Arial"/>
      <w:sz w:val="36"/>
      <w:szCs w:val="36"/>
      <w:lang w:val="en-GB" w:eastAsia="zh-CN"/>
    </w:rPr>
  </w:style>
  <w:style w:type="paragraph" w:customStyle="1" w:styleId="B1">
    <w:name w:val="B1"/>
    <w:basedOn w:val="List"/>
    <w:link w:val="B1Char"/>
    <w:qFormat/>
    <w:rsid w:val="003B1828"/>
    <w:pPr>
      <w:spacing w:after="180"/>
      <w:jc w:val="left"/>
    </w:pPr>
    <w:rPr>
      <w:lang w:eastAsia="en-US"/>
    </w:rPr>
  </w:style>
  <w:style w:type="paragraph" w:customStyle="1" w:styleId="B2">
    <w:name w:val="B2"/>
    <w:basedOn w:val="List2"/>
    <w:link w:val="B2Car"/>
    <w:rsid w:val="003B1828"/>
    <w:pPr>
      <w:spacing w:after="180"/>
      <w:jc w:val="left"/>
    </w:pPr>
    <w:rPr>
      <w:lang w:eastAsia="en-US"/>
    </w:rPr>
  </w:style>
  <w:style w:type="paragraph" w:customStyle="1" w:styleId="B3">
    <w:name w:val="B3"/>
    <w:basedOn w:val="List3"/>
    <w:link w:val="B3Char"/>
    <w:rsid w:val="003B1828"/>
    <w:pPr>
      <w:spacing w:after="180"/>
      <w:jc w:val="left"/>
    </w:pPr>
    <w:rPr>
      <w:lang w:eastAsia="en-US"/>
    </w:rPr>
  </w:style>
  <w:style w:type="paragraph" w:customStyle="1" w:styleId="B4">
    <w:name w:val="B4"/>
    <w:basedOn w:val="List4"/>
    <w:link w:val="B4Char"/>
    <w:rsid w:val="003B1828"/>
    <w:pPr>
      <w:spacing w:after="180"/>
      <w:jc w:val="left"/>
    </w:pPr>
    <w:rPr>
      <w:lang w:eastAsia="en-US"/>
    </w:rPr>
  </w:style>
  <w:style w:type="paragraph" w:customStyle="1" w:styleId="Proposal">
    <w:name w:val="Proposal"/>
    <w:basedOn w:val="Normal"/>
    <w:rsid w:val="003B1828"/>
    <w:pPr>
      <w:numPr>
        <w:numId w:val="3"/>
      </w:numPr>
      <w:tabs>
        <w:tab w:val="clear" w:pos="1304"/>
        <w:tab w:val="left" w:pos="1701"/>
      </w:tabs>
      <w:ind w:left="1701" w:hanging="1701"/>
    </w:pPr>
    <w:rPr>
      <w:b/>
      <w:bCs/>
    </w:rPr>
  </w:style>
  <w:style w:type="character" w:customStyle="1" w:styleId="BodyTextChar">
    <w:name w:val="Body Text Char"/>
    <w:link w:val="BodyText"/>
    <w:rsid w:val="003B1828"/>
    <w:rPr>
      <w:rFonts w:ascii="Arial" w:hAnsi="Arial"/>
      <w:lang w:val="en-GB" w:eastAsia="zh-CN"/>
    </w:rPr>
  </w:style>
  <w:style w:type="paragraph" w:customStyle="1" w:styleId="B5">
    <w:name w:val="B5"/>
    <w:basedOn w:val="List5"/>
    <w:rsid w:val="003B1828"/>
    <w:pPr>
      <w:spacing w:after="180"/>
      <w:jc w:val="left"/>
    </w:pPr>
    <w:rPr>
      <w:lang w:eastAsia="en-US"/>
    </w:rPr>
  </w:style>
  <w:style w:type="paragraph" w:customStyle="1" w:styleId="EX">
    <w:name w:val="EX"/>
    <w:basedOn w:val="Normal"/>
    <w:rsid w:val="003B1828"/>
    <w:pPr>
      <w:keepLines/>
      <w:spacing w:after="180"/>
      <w:ind w:left="1702" w:hanging="1418"/>
      <w:jc w:val="left"/>
    </w:pPr>
    <w:rPr>
      <w:lang w:eastAsia="en-US"/>
    </w:rPr>
  </w:style>
  <w:style w:type="paragraph" w:customStyle="1" w:styleId="EW">
    <w:name w:val="EW"/>
    <w:basedOn w:val="EX"/>
    <w:rsid w:val="003B1828"/>
    <w:pPr>
      <w:spacing w:after="0"/>
    </w:pPr>
  </w:style>
  <w:style w:type="paragraph" w:customStyle="1" w:styleId="TAL">
    <w:name w:val="TAL"/>
    <w:basedOn w:val="Normal"/>
    <w:rsid w:val="003B1828"/>
    <w:pPr>
      <w:keepNext/>
      <w:keepLines/>
      <w:spacing w:after="0"/>
      <w:jc w:val="left"/>
    </w:pPr>
    <w:rPr>
      <w:sz w:val="18"/>
      <w:lang w:eastAsia="en-US"/>
    </w:rPr>
  </w:style>
  <w:style w:type="paragraph" w:customStyle="1" w:styleId="TAC">
    <w:name w:val="TAC"/>
    <w:basedOn w:val="TAL"/>
    <w:link w:val="TACChar"/>
    <w:rsid w:val="003B1828"/>
    <w:pPr>
      <w:jc w:val="center"/>
    </w:pPr>
  </w:style>
  <w:style w:type="paragraph" w:customStyle="1" w:styleId="TAH">
    <w:name w:val="TAH"/>
    <w:basedOn w:val="TAC"/>
    <w:link w:val="TAHCar"/>
    <w:rsid w:val="003B1828"/>
    <w:rPr>
      <w:b/>
    </w:rPr>
  </w:style>
  <w:style w:type="paragraph" w:customStyle="1" w:styleId="TAN">
    <w:name w:val="TAN"/>
    <w:basedOn w:val="TAL"/>
    <w:rsid w:val="003B1828"/>
    <w:pPr>
      <w:ind w:left="851" w:hanging="851"/>
    </w:pPr>
  </w:style>
  <w:style w:type="paragraph" w:customStyle="1" w:styleId="TAR">
    <w:name w:val="TAR"/>
    <w:basedOn w:val="TAL"/>
    <w:rsid w:val="003B1828"/>
    <w:pPr>
      <w:jc w:val="right"/>
    </w:pPr>
  </w:style>
  <w:style w:type="paragraph" w:customStyle="1" w:styleId="TH">
    <w:name w:val="TH"/>
    <w:basedOn w:val="Normal"/>
    <w:link w:val="THChar"/>
    <w:rsid w:val="003B1828"/>
    <w:pPr>
      <w:keepNext/>
      <w:keepLines/>
      <w:spacing w:before="60" w:after="180"/>
      <w:jc w:val="center"/>
    </w:pPr>
    <w:rPr>
      <w:b/>
      <w:lang w:eastAsia="en-US"/>
    </w:rPr>
  </w:style>
  <w:style w:type="paragraph" w:customStyle="1" w:styleId="TF">
    <w:name w:val="TF"/>
    <w:basedOn w:val="TH"/>
    <w:link w:val="TFChar"/>
    <w:rsid w:val="003B1828"/>
    <w:pPr>
      <w:keepNext w:val="0"/>
      <w:spacing w:before="0" w:after="240"/>
    </w:pPr>
  </w:style>
  <w:style w:type="paragraph" w:customStyle="1" w:styleId="TT">
    <w:name w:val="TT"/>
    <w:basedOn w:val="Heading1"/>
    <w:next w:val="Normal"/>
    <w:rsid w:val="003B1828"/>
    <w:pPr>
      <w:numPr>
        <w:numId w:val="0"/>
      </w:numPr>
      <w:ind w:left="1134" w:hanging="1134"/>
      <w:outlineLvl w:val="9"/>
    </w:pPr>
    <w:rPr>
      <w:rFonts w:cs="Times New Roman"/>
      <w:szCs w:val="20"/>
      <w:lang w:eastAsia="en-US"/>
    </w:rPr>
  </w:style>
  <w:style w:type="paragraph" w:customStyle="1" w:styleId="ZA">
    <w:name w:val="ZA"/>
    <w:rsid w:val="003B18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18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18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18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1828"/>
  </w:style>
  <w:style w:type="paragraph" w:customStyle="1" w:styleId="ZH">
    <w:name w:val="ZH"/>
    <w:rsid w:val="003B18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B18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1828"/>
    <w:pPr>
      <w:framePr w:hRule="auto" w:wrap="notBeside" w:y="852"/>
    </w:pPr>
    <w:rPr>
      <w:i w:val="0"/>
      <w:sz w:val="40"/>
    </w:rPr>
  </w:style>
  <w:style w:type="paragraph" w:customStyle="1" w:styleId="ZU">
    <w:name w:val="ZU"/>
    <w:rsid w:val="003B18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1828"/>
    <w:pPr>
      <w:framePr w:wrap="notBeside" w:y="16161"/>
    </w:pPr>
  </w:style>
  <w:style w:type="paragraph" w:customStyle="1" w:styleId="FP">
    <w:name w:val="FP"/>
    <w:basedOn w:val="Normal"/>
    <w:rsid w:val="003B1828"/>
    <w:pPr>
      <w:spacing w:after="0"/>
      <w:jc w:val="left"/>
    </w:pPr>
    <w:rPr>
      <w:lang w:eastAsia="en-US"/>
    </w:rPr>
  </w:style>
  <w:style w:type="paragraph" w:customStyle="1" w:styleId="Observation">
    <w:name w:val="Observation"/>
    <w:basedOn w:val="Proposal"/>
    <w:qFormat/>
    <w:rsid w:val="003B1828"/>
    <w:pPr>
      <w:numPr>
        <w:numId w:val="13"/>
      </w:numPr>
      <w:ind w:left="1701" w:hanging="1701"/>
    </w:pPr>
  </w:style>
  <w:style w:type="paragraph" w:styleId="TableofFigures">
    <w:name w:val="table of figures"/>
    <w:basedOn w:val="Normal"/>
    <w:next w:val="Normal"/>
    <w:uiPriority w:val="99"/>
    <w:rsid w:val="003B1828"/>
    <w:pPr>
      <w:ind w:left="1418" w:hanging="1418"/>
      <w:jc w:val="left"/>
    </w:pPr>
    <w:rPr>
      <w:b/>
    </w:rPr>
  </w:style>
  <w:style w:type="paragraph" w:customStyle="1" w:styleId="Doc-text2">
    <w:name w:val="Doc-text2"/>
    <w:basedOn w:val="Normal"/>
    <w:link w:val="Doc-text2Char"/>
    <w:qFormat/>
    <w:rsid w:val="003B182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B1828"/>
    <w:rPr>
      <w:rFonts w:ascii="Arial" w:eastAsia="MS Mincho" w:hAnsi="Arial"/>
      <w:szCs w:val="24"/>
      <w:lang w:val="en-GB" w:eastAsia="en-GB"/>
    </w:rPr>
  </w:style>
  <w:style w:type="paragraph" w:styleId="ListParagraph">
    <w:name w:val="List Paragraph"/>
    <w:basedOn w:val="Normal"/>
    <w:uiPriority w:val="34"/>
    <w:qFormat/>
    <w:rsid w:val="00B1180C"/>
    <w:pPr>
      <w:overflowPunct/>
      <w:autoSpaceDE/>
      <w:autoSpaceDN/>
      <w:adjustRightInd/>
      <w:spacing w:after="180"/>
      <w:ind w:leftChars="400" w:left="800"/>
      <w:jc w:val="left"/>
      <w:textAlignment w:val="auto"/>
    </w:pPr>
    <w:rPr>
      <w:rFonts w:ascii="Times New Roman" w:eastAsiaTheme="minorEastAsia" w:hAnsi="Times New Roman"/>
      <w:lang w:eastAsia="en-US"/>
    </w:rPr>
  </w:style>
  <w:style w:type="character" w:customStyle="1" w:styleId="B1Char">
    <w:name w:val="B1 Char"/>
    <w:link w:val="B1"/>
    <w:rsid w:val="00BF01AF"/>
    <w:rPr>
      <w:rFonts w:ascii="Arial" w:hAnsi="Arial"/>
      <w:lang w:val="en-GB"/>
    </w:rPr>
  </w:style>
  <w:style w:type="character" w:customStyle="1" w:styleId="B2Car">
    <w:name w:val="B2 Car"/>
    <w:basedOn w:val="DefaultParagraphFont"/>
    <w:link w:val="B2"/>
    <w:locked/>
    <w:rsid w:val="00BF01AF"/>
    <w:rPr>
      <w:rFonts w:ascii="Arial" w:hAnsi="Arial"/>
      <w:lang w:val="en-GB"/>
    </w:rPr>
  </w:style>
  <w:style w:type="character" w:customStyle="1" w:styleId="B3Char">
    <w:name w:val="B3 Char"/>
    <w:link w:val="B3"/>
    <w:locked/>
    <w:rsid w:val="00BF01AF"/>
    <w:rPr>
      <w:rFonts w:ascii="Arial" w:hAnsi="Arial"/>
      <w:lang w:val="en-GB"/>
    </w:rPr>
  </w:style>
  <w:style w:type="paragraph" w:customStyle="1" w:styleId="NO">
    <w:name w:val="NO"/>
    <w:basedOn w:val="Normal"/>
    <w:link w:val="NOChar"/>
    <w:rsid w:val="00BF01AF"/>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character" w:customStyle="1" w:styleId="NOChar">
    <w:name w:val="NO Char"/>
    <w:link w:val="NO"/>
    <w:rsid w:val="00BF01AF"/>
    <w:rPr>
      <w:rFonts w:ascii="Times New Roman" w:eastAsiaTheme="minorEastAsia" w:hAnsi="Times New Roman"/>
      <w:lang w:val="en-GB"/>
    </w:rPr>
  </w:style>
  <w:style w:type="paragraph" w:styleId="PlainText">
    <w:name w:val="Plain Text"/>
    <w:basedOn w:val="Normal"/>
    <w:link w:val="PlainTextChar"/>
    <w:rsid w:val="00FD24A9"/>
    <w:pPr>
      <w:spacing w:after="0"/>
    </w:pPr>
    <w:rPr>
      <w:rFonts w:ascii="Consolas" w:hAnsi="Consolas" w:cs="Consolas"/>
      <w:sz w:val="21"/>
      <w:szCs w:val="21"/>
    </w:rPr>
  </w:style>
  <w:style w:type="character" w:customStyle="1" w:styleId="PlainTextChar">
    <w:name w:val="Plain Text Char"/>
    <w:basedOn w:val="DefaultParagraphFont"/>
    <w:link w:val="PlainText"/>
    <w:rsid w:val="00FD24A9"/>
    <w:rPr>
      <w:rFonts w:ascii="Consolas" w:hAnsi="Consolas" w:cs="Consolas"/>
      <w:sz w:val="21"/>
      <w:szCs w:val="21"/>
      <w:lang w:val="en-GB" w:eastAsia="zh-CN"/>
    </w:rPr>
  </w:style>
  <w:style w:type="character" w:styleId="Emphasis">
    <w:name w:val="Emphasis"/>
    <w:basedOn w:val="DefaultParagraphFont"/>
    <w:qFormat/>
    <w:rsid w:val="00DA6961"/>
    <w:rPr>
      <w:i/>
      <w:iCs/>
    </w:rPr>
  </w:style>
  <w:style w:type="character" w:customStyle="1" w:styleId="CommentTextChar">
    <w:name w:val="Comment Text Char"/>
    <w:basedOn w:val="DefaultParagraphFont"/>
    <w:link w:val="CommentText"/>
    <w:uiPriority w:val="99"/>
    <w:rsid w:val="0083299B"/>
    <w:rPr>
      <w:rFonts w:ascii="Arial" w:hAnsi="Arial"/>
      <w:lang w:val="en-GB" w:eastAsia="zh-CN"/>
    </w:rPr>
  </w:style>
  <w:style w:type="character" w:customStyle="1" w:styleId="TACChar">
    <w:name w:val="TAC Char"/>
    <w:link w:val="TAC"/>
    <w:locked/>
    <w:rsid w:val="00802303"/>
    <w:rPr>
      <w:rFonts w:ascii="Arial" w:hAnsi="Arial"/>
      <w:sz w:val="18"/>
      <w:lang w:val="en-GB"/>
    </w:rPr>
  </w:style>
  <w:style w:type="character" w:customStyle="1" w:styleId="THChar">
    <w:name w:val="TH Char"/>
    <w:link w:val="TH"/>
    <w:locked/>
    <w:rsid w:val="00802303"/>
    <w:rPr>
      <w:rFonts w:ascii="Arial" w:hAnsi="Arial"/>
      <w:b/>
      <w:lang w:val="en-GB"/>
    </w:rPr>
  </w:style>
  <w:style w:type="character" w:customStyle="1" w:styleId="TFChar">
    <w:name w:val="TF Char"/>
    <w:link w:val="TF"/>
    <w:locked/>
    <w:rsid w:val="00802303"/>
    <w:rPr>
      <w:rFonts w:ascii="Arial" w:hAnsi="Arial"/>
      <w:b/>
      <w:lang w:val="en-GB"/>
    </w:rPr>
  </w:style>
  <w:style w:type="character" w:customStyle="1" w:styleId="TAHCar">
    <w:name w:val="TAH Car"/>
    <w:link w:val="TAH"/>
    <w:locked/>
    <w:rsid w:val="00802303"/>
    <w:rPr>
      <w:rFonts w:ascii="Arial" w:hAnsi="Arial"/>
      <w:b/>
      <w:sz w:val="18"/>
      <w:lang w:val="en-GB"/>
    </w:rPr>
  </w:style>
  <w:style w:type="paragraph" w:customStyle="1" w:styleId="IvDInstructiontext">
    <w:name w:val="IvD Instructiontext"/>
    <w:basedOn w:val="BodyText"/>
    <w:link w:val="IvDInstructiontextChar"/>
    <w:uiPriority w:val="99"/>
    <w:qFormat/>
    <w:rsid w:val="00F7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77C05"/>
    <w:rPr>
      <w:rFonts w:ascii="Arial" w:hAnsi="Arial"/>
      <w:i/>
      <w:color w:val="7F7F7F" w:themeColor="text1" w:themeTint="80"/>
      <w:spacing w:val="2"/>
      <w:sz w:val="18"/>
      <w:szCs w:val="18"/>
    </w:rPr>
  </w:style>
  <w:style w:type="character" w:customStyle="1" w:styleId="B2Char">
    <w:name w:val="B2 Char"/>
    <w:rsid w:val="001416F5"/>
    <w:rPr>
      <w:lang w:val="en-GB" w:eastAsia="en-US"/>
    </w:rPr>
  </w:style>
  <w:style w:type="character" w:customStyle="1" w:styleId="B4Char">
    <w:name w:val="B4 Char"/>
    <w:link w:val="B4"/>
    <w:locked/>
    <w:rsid w:val="004358AC"/>
    <w:rPr>
      <w:rFonts w:ascii="Arial" w:hAnsi="Arial"/>
      <w:lang w:val="en-GB"/>
    </w:rPr>
  </w:style>
  <w:style w:type="paragraph" w:customStyle="1" w:styleId="B6">
    <w:name w:val="B6"/>
    <w:basedOn w:val="B5"/>
    <w:rsid w:val="00B27BBA"/>
    <w:pPr>
      <w:overflowPunct/>
      <w:autoSpaceDE/>
      <w:autoSpaceDN/>
      <w:adjustRightInd/>
      <w:ind w:left="1985"/>
      <w:textAlignment w:val="auto"/>
    </w:pPr>
    <w:rPr>
      <w:rFonts w:ascii="Times New Roman" w:eastAsia="Malgun Gothic" w:hAnsi="Times New Roman"/>
    </w:rPr>
  </w:style>
  <w:style w:type="paragraph" w:customStyle="1" w:styleId="B7">
    <w:name w:val="B7"/>
    <w:basedOn w:val="B6"/>
    <w:qFormat/>
    <w:rsid w:val="00B27B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516786">
      <w:bodyDiv w:val="1"/>
      <w:marLeft w:val="0"/>
      <w:marRight w:val="0"/>
      <w:marTop w:val="0"/>
      <w:marBottom w:val="0"/>
      <w:divBdr>
        <w:top w:val="none" w:sz="0" w:space="0" w:color="auto"/>
        <w:left w:val="none" w:sz="0" w:space="0" w:color="auto"/>
        <w:bottom w:val="none" w:sz="0" w:space="0" w:color="auto"/>
        <w:right w:val="none" w:sz="0" w:space="0" w:color="auto"/>
      </w:divBdr>
    </w:div>
    <w:div w:id="156968106">
      <w:bodyDiv w:val="1"/>
      <w:marLeft w:val="0"/>
      <w:marRight w:val="0"/>
      <w:marTop w:val="0"/>
      <w:marBottom w:val="0"/>
      <w:divBdr>
        <w:top w:val="none" w:sz="0" w:space="0" w:color="auto"/>
        <w:left w:val="none" w:sz="0" w:space="0" w:color="auto"/>
        <w:bottom w:val="none" w:sz="0" w:space="0" w:color="auto"/>
        <w:right w:val="none" w:sz="0" w:space="0" w:color="auto"/>
      </w:divBdr>
    </w:div>
    <w:div w:id="239994189">
      <w:bodyDiv w:val="1"/>
      <w:marLeft w:val="0"/>
      <w:marRight w:val="0"/>
      <w:marTop w:val="0"/>
      <w:marBottom w:val="0"/>
      <w:divBdr>
        <w:top w:val="none" w:sz="0" w:space="0" w:color="auto"/>
        <w:left w:val="none" w:sz="0" w:space="0" w:color="auto"/>
        <w:bottom w:val="none" w:sz="0" w:space="0" w:color="auto"/>
        <w:right w:val="none" w:sz="0" w:space="0" w:color="auto"/>
      </w:divBdr>
    </w:div>
    <w:div w:id="336154145">
      <w:bodyDiv w:val="1"/>
      <w:marLeft w:val="0"/>
      <w:marRight w:val="0"/>
      <w:marTop w:val="0"/>
      <w:marBottom w:val="0"/>
      <w:divBdr>
        <w:top w:val="none" w:sz="0" w:space="0" w:color="auto"/>
        <w:left w:val="none" w:sz="0" w:space="0" w:color="auto"/>
        <w:bottom w:val="none" w:sz="0" w:space="0" w:color="auto"/>
        <w:right w:val="none" w:sz="0" w:space="0" w:color="auto"/>
      </w:divBdr>
    </w:div>
    <w:div w:id="349648565">
      <w:bodyDiv w:val="1"/>
      <w:marLeft w:val="0"/>
      <w:marRight w:val="0"/>
      <w:marTop w:val="0"/>
      <w:marBottom w:val="0"/>
      <w:divBdr>
        <w:top w:val="none" w:sz="0" w:space="0" w:color="auto"/>
        <w:left w:val="none" w:sz="0" w:space="0" w:color="auto"/>
        <w:bottom w:val="none" w:sz="0" w:space="0" w:color="auto"/>
        <w:right w:val="none" w:sz="0" w:space="0" w:color="auto"/>
      </w:divBdr>
    </w:div>
    <w:div w:id="381757688">
      <w:bodyDiv w:val="1"/>
      <w:marLeft w:val="0"/>
      <w:marRight w:val="0"/>
      <w:marTop w:val="0"/>
      <w:marBottom w:val="0"/>
      <w:divBdr>
        <w:top w:val="none" w:sz="0" w:space="0" w:color="auto"/>
        <w:left w:val="none" w:sz="0" w:space="0" w:color="auto"/>
        <w:bottom w:val="none" w:sz="0" w:space="0" w:color="auto"/>
        <w:right w:val="none" w:sz="0" w:space="0" w:color="auto"/>
      </w:divBdr>
    </w:div>
    <w:div w:id="601498229">
      <w:bodyDiv w:val="1"/>
      <w:marLeft w:val="0"/>
      <w:marRight w:val="0"/>
      <w:marTop w:val="0"/>
      <w:marBottom w:val="0"/>
      <w:divBdr>
        <w:top w:val="none" w:sz="0" w:space="0" w:color="auto"/>
        <w:left w:val="none" w:sz="0" w:space="0" w:color="auto"/>
        <w:bottom w:val="none" w:sz="0" w:space="0" w:color="auto"/>
        <w:right w:val="none" w:sz="0" w:space="0" w:color="auto"/>
      </w:divBdr>
    </w:div>
    <w:div w:id="654527711">
      <w:bodyDiv w:val="1"/>
      <w:marLeft w:val="0"/>
      <w:marRight w:val="0"/>
      <w:marTop w:val="0"/>
      <w:marBottom w:val="0"/>
      <w:divBdr>
        <w:top w:val="none" w:sz="0" w:space="0" w:color="auto"/>
        <w:left w:val="none" w:sz="0" w:space="0" w:color="auto"/>
        <w:bottom w:val="none" w:sz="0" w:space="0" w:color="auto"/>
        <w:right w:val="none" w:sz="0" w:space="0" w:color="auto"/>
      </w:divBdr>
    </w:div>
    <w:div w:id="674459438">
      <w:bodyDiv w:val="1"/>
      <w:marLeft w:val="0"/>
      <w:marRight w:val="0"/>
      <w:marTop w:val="0"/>
      <w:marBottom w:val="0"/>
      <w:divBdr>
        <w:top w:val="none" w:sz="0" w:space="0" w:color="auto"/>
        <w:left w:val="none" w:sz="0" w:space="0" w:color="auto"/>
        <w:bottom w:val="none" w:sz="0" w:space="0" w:color="auto"/>
        <w:right w:val="none" w:sz="0" w:space="0" w:color="auto"/>
      </w:divBdr>
    </w:div>
    <w:div w:id="677081305">
      <w:bodyDiv w:val="1"/>
      <w:marLeft w:val="0"/>
      <w:marRight w:val="0"/>
      <w:marTop w:val="0"/>
      <w:marBottom w:val="0"/>
      <w:divBdr>
        <w:top w:val="none" w:sz="0" w:space="0" w:color="auto"/>
        <w:left w:val="none" w:sz="0" w:space="0" w:color="auto"/>
        <w:bottom w:val="none" w:sz="0" w:space="0" w:color="auto"/>
        <w:right w:val="none" w:sz="0" w:space="0" w:color="auto"/>
      </w:divBdr>
    </w:div>
    <w:div w:id="845873621">
      <w:bodyDiv w:val="1"/>
      <w:marLeft w:val="0"/>
      <w:marRight w:val="0"/>
      <w:marTop w:val="0"/>
      <w:marBottom w:val="0"/>
      <w:divBdr>
        <w:top w:val="none" w:sz="0" w:space="0" w:color="auto"/>
        <w:left w:val="none" w:sz="0" w:space="0" w:color="auto"/>
        <w:bottom w:val="none" w:sz="0" w:space="0" w:color="auto"/>
        <w:right w:val="none" w:sz="0" w:space="0" w:color="auto"/>
      </w:divBdr>
    </w:div>
    <w:div w:id="888421876">
      <w:bodyDiv w:val="1"/>
      <w:marLeft w:val="0"/>
      <w:marRight w:val="0"/>
      <w:marTop w:val="0"/>
      <w:marBottom w:val="0"/>
      <w:divBdr>
        <w:top w:val="none" w:sz="0" w:space="0" w:color="auto"/>
        <w:left w:val="none" w:sz="0" w:space="0" w:color="auto"/>
        <w:bottom w:val="none" w:sz="0" w:space="0" w:color="auto"/>
        <w:right w:val="none" w:sz="0" w:space="0" w:color="auto"/>
      </w:divBdr>
    </w:div>
    <w:div w:id="944724914">
      <w:bodyDiv w:val="1"/>
      <w:marLeft w:val="0"/>
      <w:marRight w:val="0"/>
      <w:marTop w:val="0"/>
      <w:marBottom w:val="0"/>
      <w:divBdr>
        <w:top w:val="none" w:sz="0" w:space="0" w:color="auto"/>
        <w:left w:val="none" w:sz="0" w:space="0" w:color="auto"/>
        <w:bottom w:val="none" w:sz="0" w:space="0" w:color="auto"/>
        <w:right w:val="none" w:sz="0" w:space="0" w:color="auto"/>
      </w:divBdr>
    </w:div>
    <w:div w:id="997535915">
      <w:bodyDiv w:val="1"/>
      <w:marLeft w:val="0"/>
      <w:marRight w:val="0"/>
      <w:marTop w:val="0"/>
      <w:marBottom w:val="0"/>
      <w:divBdr>
        <w:top w:val="none" w:sz="0" w:space="0" w:color="auto"/>
        <w:left w:val="none" w:sz="0" w:space="0" w:color="auto"/>
        <w:bottom w:val="none" w:sz="0" w:space="0" w:color="auto"/>
        <w:right w:val="none" w:sz="0" w:space="0" w:color="auto"/>
      </w:divBdr>
    </w:div>
    <w:div w:id="1082918364">
      <w:bodyDiv w:val="1"/>
      <w:marLeft w:val="0"/>
      <w:marRight w:val="0"/>
      <w:marTop w:val="0"/>
      <w:marBottom w:val="0"/>
      <w:divBdr>
        <w:top w:val="none" w:sz="0" w:space="0" w:color="auto"/>
        <w:left w:val="none" w:sz="0" w:space="0" w:color="auto"/>
        <w:bottom w:val="none" w:sz="0" w:space="0" w:color="auto"/>
        <w:right w:val="none" w:sz="0" w:space="0" w:color="auto"/>
      </w:divBdr>
    </w:div>
    <w:div w:id="1264534948">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642074735">
      <w:bodyDiv w:val="1"/>
      <w:marLeft w:val="0"/>
      <w:marRight w:val="0"/>
      <w:marTop w:val="0"/>
      <w:marBottom w:val="0"/>
      <w:divBdr>
        <w:top w:val="none" w:sz="0" w:space="0" w:color="auto"/>
        <w:left w:val="none" w:sz="0" w:space="0" w:color="auto"/>
        <w:bottom w:val="none" w:sz="0" w:space="0" w:color="auto"/>
        <w:right w:val="none" w:sz="0" w:space="0" w:color="auto"/>
      </w:divBdr>
    </w:div>
    <w:div w:id="1714883639">
      <w:bodyDiv w:val="1"/>
      <w:marLeft w:val="0"/>
      <w:marRight w:val="0"/>
      <w:marTop w:val="0"/>
      <w:marBottom w:val="0"/>
      <w:divBdr>
        <w:top w:val="none" w:sz="0" w:space="0" w:color="auto"/>
        <w:left w:val="none" w:sz="0" w:space="0" w:color="auto"/>
        <w:bottom w:val="none" w:sz="0" w:space="0" w:color="auto"/>
        <w:right w:val="none" w:sz="0" w:space="0" w:color="auto"/>
      </w:divBdr>
    </w:div>
    <w:div w:id="1750885604">
      <w:bodyDiv w:val="1"/>
      <w:marLeft w:val="0"/>
      <w:marRight w:val="0"/>
      <w:marTop w:val="0"/>
      <w:marBottom w:val="0"/>
      <w:divBdr>
        <w:top w:val="none" w:sz="0" w:space="0" w:color="auto"/>
        <w:left w:val="none" w:sz="0" w:space="0" w:color="auto"/>
        <w:bottom w:val="none" w:sz="0" w:space="0" w:color="auto"/>
        <w:right w:val="none" w:sz="0" w:space="0" w:color="auto"/>
      </w:divBdr>
    </w:div>
    <w:div w:id="1837113478">
      <w:bodyDiv w:val="1"/>
      <w:marLeft w:val="0"/>
      <w:marRight w:val="0"/>
      <w:marTop w:val="0"/>
      <w:marBottom w:val="0"/>
      <w:divBdr>
        <w:top w:val="none" w:sz="0" w:space="0" w:color="auto"/>
        <w:left w:val="none" w:sz="0" w:space="0" w:color="auto"/>
        <w:bottom w:val="none" w:sz="0" w:space="0" w:color="auto"/>
        <w:right w:val="none" w:sz="0" w:space="0" w:color="auto"/>
      </w:divBdr>
    </w:div>
    <w:div w:id="1848710283">
      <w:bodyDiv w:val="1"/>
      <w:marLeft w:val="0"/>
      <w:marRight w:val="0"/>
      <w:marTop w:val="0"/>
      <w:marBottom w:val="0"/>
      <w:divBdr>
        <w:top w:val="none" w:sz="0" w:space="0" w:color="auto"/>
        <w:left w:val="none" w:sz="0" w:space="0" w:color="auto"/>
        <w:bottom w:val="none" w:sz="0" w:space="0" w:color="auto"/>
        <w:right w:val="none" w:sz="0" w:space="0" w:color="auto"/>
      </w:divBdr>
    </w:div>
    <w:div w:id="1936203626">
      <w:bodyDiv w:val="1"/>
      <w:marLeft w:val="0"/>
      <w:marRight w:val="0"/>
      <w:marTop w:val="0"/>
      <w:marBottom w:val="0"/>
      <w:divBdr>
        <w:top w:val="none" w:sz="0" w:space="0" w:color="auto"/>
        <w:left w:val="none" w:sz="0" w:space="0" w:color="auto"/>
        <w:bottom w:val="none" w:sz="0" w:space="0" w:color="auto"/>
        <w:right w:val="none" w:sz="0" w:space="0" w:color="auto"/>
      </w:divBdr>
    </w:div>
    <w:div w:id="1973634823">
      <w:bodyDiv w:val="1"/>
      <w:marLeft w:val="0"/>
      <w:marRight w:val="0"/>
      <w:marTop w:val="0"/>
      <w:marBottom w:val="0"/>
      <w:divBdr>
        <w:top w:val="none" w:sz="0" w:space="0" w:color="auto"/>
        <w:left w:val="none" w:sz="0" w:space="0" w:color="auto"/>
        <w:bottom w:val="none" w:sz="0" w:space="0" w:color="auto"/>
        <w:right w:val="none" w:sz="0" w:space="0" w:color="auto"/>
      </w:divBdr>
    </w:div>
    <w:div w:id="2076273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100_Reno\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f166a696-7b5b-4ccd-9f0c-ffde0cceec81">5NUHHDQN7SK2-1476151046-22348</_dlc_DocId>
    <TaxCatchAll xmlns="d8762117-8292-4133-b1c7-eab5c6487cfd">
      <Value>5</Value>
      <Value>4</Value>
    </TaxCatchAll>
    <_dlc_DocIdUrl xmlns="f166a696-7b5b-4ccd-9f0c-ffde0cceec81">
      <Url>https://ericsson.sharepoint.com/sites/star/_layouts/15/DocIdRedir.aspx?ID=5NUHHDQN7SK2-1476151046-22348</Url>
      <Description>5NUHHDQN7SK2-1476151046-22348</Description>
    </_dlc_DocIdUrl>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Yes</Issue_x0020_in_x0020_OI_x0020_list_x0020__x0028_Y_x002f_N_x0029_>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DC29C5-DE1C-4811-8DE8-8B29D931E3BD}">
  <ds:schemaRefs>
    <ds:schemaRef ds:uri="http://purl.org/dc/dcmitype/"/>
    <ds:schemaRef ds:uri="http://purl.org/dc/terms/"/>
    <ds:schemaRef ds:uri="http://www.w3.org/XML/1998/namespace"/>
    <ds:schemaRef ds:uri="611109f9-ed58-4498-a270-1fb2086a5321"/>
    <ds:schemaRef ds:uri="http://schemas.microsoft.com/office/2006/documentManagement/types"/>
    <ds:schemaRef ds:uri="f166a696-7b5b-4ccd-9f0c-ffde0cceec81"/>
    <ds:schemaRef ds:uri="http://schemas.microsoft.com/office/2006/metadata/properties"/>
    <ds:schemaRef ds:uri="http://purl.org/dc/elements/1.1/"/>
    <ds:schemaRef ds:uri="http://schemas.microsoft.com/office/infopath/2007/PartnerControls"/>
    <ds:schemaRef ds:uri="http://schemas.openxmlformats.org/package/2006/metadata/core-properties"/>
    <ds:schemaRef ds:uri="http://schemas.microsoft.com/sharepoint/v4"/>
    <ds:schemaRef ds:uri="d8762117-8292-4133-b1c7-eab5c6487cfd"/>
  </ds:schemaRefs>
</ds:datastoreItem>
</file>

<file path=customXml/itemProps2.xml><?xml version="1.0" encoding="utf-8"?>
<ds:datastoreItem xmlns:ds="http://schemas.openxmlformats.org/officeDocument/2006/customXml" ds:itemID="{F942620E-BA02-43CB-B19F-6F9BE0C429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F015CA-70EA-4298-B36A-1ED6709167F6}">
  <ds:schemaRefs>
    <ds:schemaRef ds:uri="http://schemas.microsoft.com/sharepoint/events"/>
  </ds:schemaRefs>
</ds:datastoreItem>
</file>

<file path=customXml/itemProps4.xml><?xml version="1.0" encoding="utf-8"?>
<ds:datastoreItem xmlns:ds="http://schemas.openxmlformats.org/officeDocument/2006/customXml" ds:itemID="{D05DC362-5881-4165-BCB8-4032538D8458}">
  <ds:schemaRefs>
    <ds:schemaRef ds:uri="http://schemas.microsoft.com/sharepoint/v3/contenttype/forms"/>
  </ds:schemaRefs>
</ds:datastoreItem>
</file>

<file path=customXml/itemProps5.xml><?xml version="1.0" encoding="utf-8"?>
<ds:datastoreItem xmlns:ds="http://schemas.openxmlformats.org/officeDocument/2006/customXml" ds:itemID="{7D0ADB39-0759-4ECD-B0C7-3434688BC66A}">
  <ds:schemaRefs>
    <ds:schemaRef ds:uri="Microsoft.SharePoint.Taxonomy.ContentTypeSync"/>
  </ds:schemaRefs>
</ds:datastoreItem>
</file>

<file path=customXml/itemProps6.xml><?xml version="1.0" encoding="utf-8"?>
<ds:datastoreItem xmlns:ds="http://schemas.openxmlformats.org/officeDocument/2006/customXml" ds:itemID="{7435597D-5D68-4B73-9686-1285F7D4D4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template.dotx</Template>
  <TotalTime>186</TotalTime>
  <Pages>2</Pages>
  <Words>744</Words>
  <Characters>3337</Characters>
  <Application>Microsoft Office Word</Application>
  <DocSecurity>0</DocSecurity>
  <Lines>27</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Mats Folke</cp:lastModifiedBy>
  <cp:revision>91</cp:revision>
  <dcterms:created xsi:type="dcterms:W3CDTF">2018-02-05T13:31:00Z</dcterms:created>
  <dcterms:modified xsi:type="dcterms:W3CDTF">2018-05-09T12:58:00Z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bf990fc0-67a7-4b63-aa9e-bbb0dc1dba56</vt:lpwstr>
  </property>
  <property fmtid="{D5CDD505-2E9C-101B-9397-08002B2CF9AE}" pid="3" name="ContentTypeId">
    <vt:lpwstr>0x010100C5F30C9B16E14C8EACE5F2CC7B7AC7F400F5862E332FC6CE449700A00A9FC83FBA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